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宋体" w:hAnsi="宋体" w:cs="宋体"/>
          <w:b/>
          <w:bCs/>
          <w:sz w:val="44"/>
          <w:szCs w:val="44"/>
        </w:rPr>
      </w:pPr>
      <w:bookmarkStart w:id="0" w:name="_GoBack"/>
      <w:r>
        <w:rPr>
          <w:rFonts w:hint="eastAsia" w:ascii="宋体" w:hAnsi="宋体" w:cs="宋体"/>
          <w:b/>
          <w:bCs/>
          <w:sz w:val="44"/>
          <w:szCs w:val="44"/>
        </w:rPr>
        <w:t>检察机关“捕诉一体”办案机制探析</w:t>
      </w:r>
    </w:p>
    <w:bookmarkEnd w:id="0"/>
    <w:p>
      <w:pPr>
        <w:tabs>
          <w:tab w:val="left" w:pos="6105"/>
        </w:tabs>
        <w:adjustRightInd w:val="0"/>
        <w:snapToGrid w:val="0"/>
        <w:spacing w:line="360" w:lineRule="auto"/>
        <w:jc w:val="center"/>
        <w:rPr>
          <w:rFonts w:hint="eastAsia" w:ascii="楷体" w:hAnsi="楷体" w:eastAsia="楷体" w:cs="楷体"/>
          <w:sz w:val="28"/>
          <w:szCs w:val="28"/>
        </w:rPr>
      </w:pPr>
      <w:r>
        <w:rPr>
          <w:rFonts w:hint="eastAsia" w:ascii="楷体" w:hAnsi="楷体" w:eastAsia="楷体" w:cs="楷体"/>
          <w:sz w:val="28"/>
          <w:szCs w:val="28"/>
        </w:rPr>
        <w:t>殷黄娟</w:t>
      </w:r>
      <w:r>
        <w:rPr>
          <w:rStyle w:val="6"/>
          <w:rFonts w:hint="eastAsia" w:ascii="楷体" w:hAnsi="楷体" w:eastAsia="楷体" w:cs="楷体"/>
          <w:sz w:val="28"/>
          <w:szCs w:val="28"/>
        </w:rPr>
        <w:footnoteReference w:id="0"/>
      </w:r>
    </w:p>
    <w:p>
      <w:pPr>
        <w:adjustRightInd w:val="0"/>
        <w:snapToGrid w:val="0"/>
        <w:spacing w:line="360" w:lineRule="auto"/>
        <w:rPr>
          <w:rFonts w:hint="eastAsia" w:ascii="宋体" w:hAnsi="宋体" w:cs="宋体"/>
        </w:rPr>
      </w:pPr>
      <w:r>
        <w:rPr>
          <w:rFonts w:hint="eastAsia" w:ascii="黑体" w:hAnsi="黑体" w:eastAsia="黑体" w:cs="黑体"/>
        </w:rPr>
        <w:t>摘要：</w:t>
      </w:r>
      <w:r>
        <w:rPr>
          <w:rFonts w:hint="eastAsia" w:ascii="宋体" w:hAnsi="宋体" w:cs="宋体"/>
        </w:rPr>
        <w:t>捕诉一体后，检察机关内部机构及职能发生重大变革，理论界对捕诉一体的质疑之声，本文以顺德区人民检察院先行改革的视角，正面审视捕诉一体，以实证回应了理论界对捕诉一体的诸多诟病，论证了捕诉一体的优越性，并对捕诉一体机制全面推行提出可行性建议。</w:t>
      </w:r>
    </w:p>
    <w:p>
      <w:pPr>
        <w:adjustRightInd w:val="0"/>
        <w:snapToGrid w:val="0"/>
        <w:spacing w:line="360" w:lineRule="auto"/>
        <w:rPr>
          <w:rFonts w:hint="eastAsia" w:ascii="宋体" w:hAnsi="宋体" w:cs="宋体"/>
        </w:rPr>
      </w:pPr>
      <w:r>
        <w:rPr>
          <w:rFonts w:hint="eastAsia" w:ascii="黑体" w:hAnsi="黑体" w:eastAsia="黑体" w:cs="黑体"/>
        </w:rPr>
        <w:t>关键词：</w:t>
      </w:r>
      <w:r>
        <w:rPr>
          <w:rFonts w:hint="eastAsia" w:ascii="宋体" w:hAnsi="宋体" w:cs="宋体"/>
        </w:rPr>
        <w:t>捕诉一体；认罪认罚；检察官司法责任制。</w:t>
      </w:r>
    </w:p>
    <w:p>
      <w:pPr>
        <w:tabs>
          <w:tab w:val="left" w:pos="6105"/>
        </w:tabs>
        <w:adjustRightInd w:val="0"/>
        <w:snapToGrid w:val="0"/>
        <w:spacing w:line="360" w:lineRule="auto"/>
        <w:ind w:firstLine="560" w:firstLineChars="200"/>
        <w:rPr>
          <w:rFonts w:hint="eastAsia" w:ascii="黑体" w:hAnsi="黑体" w:eastAsia="黑体" w:cs="黑体"/>
          <w:sz w:val="28"/>
          <w:szCs w:val="28"/>
        </w:rPr>
      </w:pPr>
    </w:p>
    <w:p>
      <w:pPr>
        <w:tabs>
          <w:tab w:val="left" w:pos="6105"/>
        </w:tabs>
        <w:adjustRightInd w:val="0"/>
        <w:snapToGrid w:val="0"/>
        <w:spacing w:line="360" w:lineRule="auto"/>
        <w:ind w:firstLine="560" w:firstLineChars="200"/>
        <w:rPr>
          <w:rFonts w:hint="eastAsia" w:ascii="黑体" w:hAnsi="黑体" w:eastAsia="黑体" w:cs="黑体"/>
          <w:sz w:val="28"/>
          <w:szCs w:val="28"/>
        </w:rPr>
      </w:pPr>
      <w:r>
        <w:rPr>
          <w:rFonts w:hint="eastAsia" w:ascii="黑体" w:hAnsi="黑体" w:eastAsia="黑体" w:cs="黑体"/>
          <w:sz w:val="28"/>
          <w:szCs w:val="28"/>
        </w:rPr>
        <w:t>一、概述“捕诉一体”办案机制</w:t>
      </w:r>
    </w:p>
    <w:p>
      <w:pPr>
        <w:adjustRightInd w:val="0"/>
        <w:snapToGrid w:val="0"/>
        <w:spacing w:line="360" w:lineRule="auto"/>
        <w:ind w:firstLine="562" w:firstLineChars="200"/>
        <w:rPr>
          <w:rFonts w:hint="eastAsia" w:ascii="宋体" w:hAnsi="宋体" w:cs="宋体"/>
          <w:b/>
          <w:sz w:val="28"/>
          <w:szCs w:val="28"/>
        </w:rPr>
      </w:pPr>
      <w:r>
        <w:rPr>
          <w:rFonts w:hint="eastAsia" w:ascii="宋体" w:hAnsi="宋体" w:cs="宋体"/>
          <w:b/>
          <w:sz w:val="28"/>
          <w:szCs w:val="28"/>
        </w:rPr>
        <w:t>（一）阐明“捕诉一体”办案机制的涵义</w:t>
      </w:r>
    </w:p>
    <w:p>
      <w:pPr>
        <w:adjustRightInd w:val="0"/>
        <w:snapToGrid w:val="0"/>
        <w:spacing w:line="360" w:lineRule="auto"/>
        <w:ind w:firstLine="420" w:firstLineChars="200"/>
        <w:rPr>
          <w:rFonts w:hint="eastAsia" w:ascii="宋体" w:hAnsi="宋体" w:cs="宋体"/>
        </w:rPr>
      </w:pPr>
      <w:r>
        <w:rPr>
          <w:rFonts w:hint="eastAsia" w:ascii="宋体" w:hAnsi="宋体" w:cs="宋体"/>
        </w:rPr>
        <w:t>我国现行法律赋予了检察机关统一行使批捕权、起诉权，“捕诉分离”或“捕诉一体”均是检察机关对于批捕权、起诉权在内部进行职权分配的不同办案机制。顾名思义，“捕诉分离”是指同一宗案件，审查逮捕及审查起诉由不同的检察官进行办理的办案机制。“捕诉一体”，则是指对公安机关移送的刑事案件，由同一检察官在法定权限范围内完成案件的审查批捕、起诉，出庭公诉，履行立案监督、侦查监督、审判监督职责的一种办案机制。简言之，就是“谁批捕，谁起诉”。</w:t>
      </w:r>
    </w:p>
    <w:p>
      <w:pPr>
        <w:adjustRightInd w:val="0"/>
        <w:snapToGrid w:val="0"/>
        <w:spacing w:line="360" w:lineRule="auto"/>
        <w:ind w:firstLine="562" w:firstLineChars="200"/>
        <w:rPr>
          <w:rFonts w:hint="eastAsia" w:ascii="宋体" w:hAnsi="宋体" w:cs="宋体"/>
          <w:b/>
          <w:sz w:val="28"/>
          <w:szCs w:val="28"/>
        </w:rPr>
      </w:pPr>
      <w:r>
        <w:rPr>
          <w:rFonts w:hint="eastAsia" w:ascii="宋体" w:hAnsi="宋体" w:cs="宋体"/>
          <w:b/>
          <w:sz w:val="28"/>
          <w:szCs w:val="28"/>
        </w:rPr>
        <w:t>（二）“捕诉一体”与“捕诉分离”的历史沿革</w:t>
      </w:r>
    </w:p>
    <w:p>
      <w:pPr>
        <w:tabs>
          <w:tab w:val="left" w:pos="6105"/>
        </w:tabs>
        <w:adjustRightInd w:val="0"/>
        <w:snapToGrid w:val="0"/>
        <w:spacing w:line="360" w:lineRule="auto"/>
        <w:ind w:firstLine="420" w:firstLineChars="200"/>
        <w:rPr>
          <w:rFonts w:hint="eastAsia" w:ascii="宋体" w:hAnsi="宋体" w:cs="宋体"/>
        </w:rPr>
      </w:pPr>
      <w:r>
        <w:rPr>
          <w:rFonts w:hint="eastAsia" w:ascii="宋体" w:hAnsi="宋体" w:cs="宋体"/>
        </w:rPr>
        <w:t>天下大势，合久必分，分久必合。检察机关的批捕、起诉权也历经了由合到分，分而合一的历史进程。1978年，检察机关复建，最高检成立了刑事检察厅，各级检察院也分别设置了刑事检察科，主管审查批捕、起诉工作；刑事诉讼法第一次修改后，1999年至2000年，最高检实施捕诉分离，刑事检察厅被侦查监督厅和公诉厅取代；2018年，最高检检察长张军在大检察官研讨班开幕式上提出统一履行审查逮捕、审查起诉等职能，再次提出了捕诉一体化；2019年1月，最高检进行内设机构改革，自上而下地为全国的“捕诉一体”改革拉开了序幕。实践是检验制度的试金石，也是任何制度改革的动力和成因</w:t>
      </w:r>
      <w:r>
        <w:rPr>
          <w:rStyle w:val="6"/>
          <w:rFonts w:hint="eastAsia"/>
        </w:rPr>
        <w:footnoteReference w:id="1"/>
      </w:r>
      <w:r>
        <w:rPr>
          <w:rFonts w:hint="eastAsia" w:ascii="宋体" w:hAnsi="宋体" w:cs="宋体"/>
        </w:rPr>
        <w:t>。所有的改革，都是有因的，捕诉一体就是经历史验证后，检察机关在新时代、新阶段、新任务的要求下，科学谋划、统筹推进司法体制改革，构建系统完备科学合理的检察机构职能体系，权责统一、规范有序的检察权运行体系，为维护社会稳定、促进公平正义、服务人民群众提供完备体制保障</w:t>
      </w:r>
      <w:r>
        <w:rPr>
          <w:rStyle w:val="6"/>
          <w:rFonts w:hint="eastAsia"/>
        </w:rPr>
        <w:footnoteReference w:id="2"/>
      </w:r>
      <w:r>
        <w:rPr>
          <w:rFonts w:hint="eastAsia" w:ascii="宋体" w:hAnsi="宋体" w:cs="宋体"/>
        </w:rPr>
        <w:t>。</w:t>
      </w:r>
    </w:p>
    <w:p>
      <w:pPr>
        <w:tabs>
          <w:tab w:val="left" w:pos="6105"/>
        </w:tabs>
        <w:adjustRightInd w:val="0"/>
        <w:snapToGrid w:val="0"/>
        <w:spacing w:line="360" w:lineRule="auto"/>
        <w:ind w:firstLine="560" w:firstLineChars="200"/>
        <w:rPr>
          <w:rFonts w:hint="eastAsia" w:ascii="黑体" w:hAnsi="黑体" w:eastAsia="黑体" w:cs="黑体"/>
          <w:sz w:val="28"/>
          <w:szCs w:val="28"/>
        </w:rPr>
      </w:pPr>
      <w:r>
        <w:rPr>
          <w:rFonts w:hint="eastAsia" w:ascii="黑体" w:hAnsi="黑体" w:eastAsia="黑体" w:cs="黑体"/>
          <w:sz w:val="28"/>
          <w:szCs w:val="28"/>
        </w:rPr>
        <w:t>二、“捕诉一体”办案机制被理论界诟病之处</w:t>
      </w:r>
    </w:p>
    <w:p>
      <w:pPr>
        <w:adjustRightInd w:val="0"/>
        <w:snapToGrid w:val="0"/>
        <w:spacing w:line="360" w:lineRule="auto"/>
        <w:ind w:firstLine="562" w:firstLineChars="200"/>
        <w:rPr>
          <w:rFonts w:hint="eastAsia" w:ascii="宋体" w:hAnsi="宋体" w:cs="宋体"/>
          <w:b/>
          <w:sz w:val="28"/>
          <w:szCs w:val="28"/>
        </w:rPr>
      </w:pPr>
      <w:r>
        <w:rPr>
          <w:rFonts w:hint="eastAsia" w:ascii="宋体" w:hAnsi="宋体" w:cs="宋体"/>
          <w:b/>
          <w:sz w:val="28"/>
          <w:szCs w:val="28"/>
        </w:rPr>
        <w:t>诟病一：双重审查变同一审查，导致案件质量下降</w:t>
      </w:r>
    </w:p>
    <w:p>
      <w:pPr>
        <w:tabs>
          <w:tab w:val="left" w:pos="6105"/>
        </w:tabs>
        <w:adjustRightInd w:val="0"/>
        <w:snapToGrid w:val="0"/>
        <w:spacing w:line="360" w:lineRule="auto"/>
        <w:ind w:firstLine="420" w:firstLineChars="200"/>
        <w:rPr>
          <w:rFonts w:hint="eastAsia" w:ascii="宋体" w:hAnsi="宋体" w:cs="宋体"/>
        </w:rPr>
      </w:pPr>
      <w:r>
        <w:rPr>
          <w:rFonts w:hint="eastAsia" w:ascii="宋体" w:hAnsi="宋体" w:cs="宋体"/>
        </w:rPr>
        <w:t>“捕诉一体”意味着同一宗案件的办理，以侦查监督科的检察官审查批捕为第一道防线，待移送审查起诉后，再由公诉科的检察官审查、退查复核证据为第二道防线，经过不同的检察官进行双重审查，从而严把案件质量关。“捕诉一体”带来最直观的印象就是，案件审查由不同的检察官经过两道防线的审查变成了同一检察自捕自诉。首先，少一重不同办案主体的审视，直接意味少一重质量把关；其次，自己捕的案件怎么能不起诉？这又直接给检察官扣上“将错就错”、“带病起诉”的帽子。</w:t>
      </w:r>
    </w:p>
    <w:p>
      <w:pPr>
        <w:adjustRightInd w:val="0"/>
        <w:snapToGrid w:val="0"/>
        <w:spacing w:line="360" w:lineRule="auto"/>
        <w:ind w:firstLine="562" w:firstLineChars="200"/>
        <w:rPr>
          <w:rFonts w:hint="eastAsia" w:ascii="宋体" w:hAnsi="宋体" w:cs="宋体"/>
          <w:b/>
          <w:sz w:val="28"/>
          <w:szCs w:val="28"/>
        </w:rPr>
      </w:pPr>
      <w:r>
        <w:rPr>
          <w:rFonts w:hint="eastAsia" w:ascii="宋体" w:hAnsi="宋体" w:cs="宋体"/>
          <w:b/>
          <w:sz w:val="28"/>
          <w:szCs w:val="28"/>
        </w:rPr>
        <w:t>诟病二：起诉标准代替批捕标准，导致侦查活动受不利影响</w:t>
      </w:r>
    </w:p>
    <w:p>
      <w:pPr>
        <w:tabs>
          <w:tab w:val="left" w:pos="6105"/>
        </w:tabs>
        <w:adjustRightInd w:val="0"/>
        <w:snapToGrid w:val="0"/>
        <w:spacing w:line="360" w:lineRule="auto"/>
        <w:ind w:firstLine="420" w:firstLineChars="200"/>
        <w:rPr>
          <w:rFonts w:hint="eastAsia" w:ascii="宋体" w:hAnsi="宋体" w:cs="宋体"/>
        </w:rPr>
      </w:pPr>
      <w:r>
        <w:rPr>
          <w:rFonts w:hint="eastAsia" w:ascii="宋体" w:hAnsi="宋体" w:cs="宋体"/>
        </w:rPr>
        <w:t>为确保成功起诉，检察官不可避免地使用“公诉”的眼光来审视批捕案件，而审查批捕的标准并未达到起诉标准的高度，一旦使用起诉标准来办理批捕案件，将导致部分确有犯案嫌疑但证据相对较弱或证据链条未能完全闭合的嫌疑人无法被批准逮捕，而这类案件在原有的“捕诉分离”机制中，可以先批准逮捕，再由侦查机关在两个月更甚至更长的期限内进一步侦查而充分补充。上述情况一旦大量存在，则会直接影响侦查活动的正常开展，同时会放纵犯罪，对于一些该打击的刑事案件不打击，影响到社会的长治久安，进而降低人民群众的安全感。</w:t>
      </w:r>
    </w:p>
    <w:p>
      <w:pPr>
        <w:adjustRightInd w:val="0"/>
        <w:snapToGrid w:val="0"/>
        <w:spacing w:line="360" w:lineRule="auto"/>
        <w:ind w:firstLine="562" w:firstLineChars="200"/>
        <w:rPr>
          <w:rFonts w:hint="eastAsia" w:ascii="宋体" w:hAnsi="宋体" w:cs="宋体"/>
          <w:b/>
          <w:sz w:val="28"/>
          <w:szCs w:val="28"/>
        </w:rPr>
      </w:pPr>
      <w:r>
        <w:rPr>
          <w:rFonts w:hint="eastAsia" w:ascii="宋体" w:hAnsi="宋体" w:cs="宋体"/>
          <w:b/>
          <w:sz w:val="28"/>
          <w:szCs w:val="28"/>
        </w:rPr>
        <w:t>诟病三：缺少内部监督，导致执法风险上升</w:t>
      </w:r>
    </w:p>
    <w:p>
      <w:pPr>
        <w:tabs>
          <w:tab w:val="left" w:pos="6105"/>
        </w:tabs>
        <w:adjustRightInd w:val="0"/>
        <w:snapToGrid w:val="0"/>
        <w:spacing w:line="360" w:lineRule="auto"/>
        <w:ind w:firstLine="420" w:firstLineChars="200"/>
        <w:rPr>
          <w:rFonts w:hint="eastAsia" w:ascii="宋体" w:hAnsi="宋体" w:cs="宋体"/>
        </w:rPr>
      </w:pPr>
      <w:r>
        <w:rPr>
          <w:rFonts w:hint="eastAsia" w:ascii="宋体" w:hAnsi="宋体" w:cs="宋体"/>
        </w:rPr>
        <w:t>案件在捕诉分离的状态下，一个案件由两个部门的不同承办人审查，多了一重监督环节；实行捕诉一体，一个案件由同一部门的同一承办人审查，则少一重内部监督，这就一定程度上弱化了内部制约。换言之，按照检察官司法责任制，一个案件的批捕及起诉两项对犯罪嫌疑人最为重要的权力，将集中在同一名检察官手中，一旦该检察官受到案件之外的因素干扰，在行使上述两项权力时暗箱操作、以权谋私，不该捕的逮捕，不该诉的坚持起诉，一方面对于犯罪嫌疑人的权利将是重大损害，另一方面也容易滋生司法腐败，导致违法办案风险上升，有悖于检察官的客观公正义务，更是违反了检察官职业纯洁性要求。</w:t>
      </w:r>
    </w:p>
    <w:p>
      <w:pPr>
        <w:adjustRightInd w:val="0"/>
        <w:snapToGrid w:val="0"/>
        <w:spacing w:line="360" w:lineRule="auto"/>
        <w:ind w:firstLine="562" w:firstLineChars="200"/>
        <w:rPr>
          <w:rFonts w:hint="eastAsia" w:ascii="宋体" w:hAnsi="宋体" w:cs="宋体"/>
        </w:rPr>
      </w:pPr>
      <w:r>
        <w:rPr>
          <w:rFonts w:hint="eastAsia" w:ascii="宋体" w:hAnsi="宋体" w:cs="宋体"/>
          <w:b/>
          <w:sz w:val="28"/>
          <w:szCs w:val="28"/>
        </w:rPr>
        <w:t>诟病四：批捕权与起诉权由同一机关行使，导致批捕权不独立、不中立</w:t>
      </w:r>
    </w:p>
    <w:p>
      <w:pPr>
        <w:tabs>
          <w:tab w:val="left" w:pos="6105"/>
        </w:tabs>
        <w:adjustRightInd w:val="0"/>
        <w:snapToGrid w:val="0"/>
        <w:spacing w:line="360" w:lineRule="auto"/>
        <w:ind w:firstLine="420" w:firstLineChars="200"/>
        <w:rPr>
          <w:rFonts w:hint="eastAsia" w:ascii="宋体" w:hAnsi="宋体" w:cs="宋体"/>
        </w:rPr>
      </w:pPr>
      <w:r>
        <w:rPr>
          <w:rFonts w:hint="eastAsia" w:ascii="宋体" w:hAnsi="宋体" w:cs="宋体"/>
        </w:rPr>
        <w:t>有学者认为，捕诉合一有损逮捕主体的中立地位，将审查逮捕和控制两个职能结合为一体，根本上动摇了审查逮捕程序的正当性基础</w:t>
      </w:r>
      <w:r>
        <w:rPr>
          <w:rFonts w:hint="eastAsia" w:ascii="宋体" w:hAnsi="宋体" w:cs="宋体"/>
        </w:rPr>
        <w:footnoteReference w:id="3"/>
      </w:r>
      <w:r>
        <w:rPr>
          <w:rFonts w:hint="eastAsia" w:ascii="宋体" w:hAnsi="宋体" w:cs="宋体"/>
        </w:rPr>
        <w:t>。刑事诉讼中国家机关的职权分为控诉职能与裁判功能两类，审查批捕属于程序性裁判的一种，要求中立地判断被追诉人是否符合逮捕的条件，而审查起诉是一项控诉职能，这两种权力由同一人行使，容易出现混同，导致批捕绑架后面的程序</w:t>
      </w:r>
      <w:r>
        <w:rPr>
          <w:rFonts w:hint="eastAsia" w:ascii="宋体" w:hAnsi="宋体" w:cs="宋体"/>
        </w:rPr>
        <w:footnoteReference w:id="4"/>
      </w:r>
      <w:r>
        <w:rPr>
          <w:rFonts w:hint="eastAsia" w:ascii="宋体" w:hAnsi="宋体" w:cs="宋体"/>
        </w:rPr>
        <w:t>。因此，不少学者认为，批捕权是诉讼权，应当与起诉权相分离，由同一机关行使将导致批捕权不独立、不中立，最好由不同机关行使。</w:t>
      </w:r>
    </w:p>
    <w:p>
      <w:pPr>
        <w:tabs>
          <w:tab w:val="left" w:pos="6105"/>
        </w:tabs>
        <w:adjustRightInd w:val="0"/>
        <w:snapToGrid w:val="0"/>
        <w:spacing w:line="360" w:lineRule="auto"/>
        <w:ind w:firstLine="560" w:firstLineChars="200"/>
        <w:rPr>
          <w:rFonts w:hint="eastAsia" w:ascii="黑体" w:hAnsi="黑体" w:eastAsia="黑体" w:cs="黑体"/>
          <w:sz w:val="28"/>
          <w:szCs w:val="28"/>
        </w:rPr>
      </w:pPr>
      <w:r>
        <w:rPr>
          <w:rFonts w:hint="eastAsia" w:ascii="黑体" w:hAnsi="黑体" w:eastAsia="黑体" w:cs="黑体"/>
          <w:sz w:val="28"/>
          <w:szCs w:val="28"/>
        </w:rPr>
        <w:t>三、以顺德区检察院的试行经验正面审视“捕诉一体”</w:t>
      </w:r>
    </w:p>
    <w:p>
      <w:pPr>
        <w:tabs>
          <w:tab w:val="left" w:pos="6105"/>
        </w:tabs>
        <w:adjustRightInd w:val="0"/>
        <w:snapToGrid w:val="0"/>
        <w:spacing w:line="360" w:lineRule="auto"/>
        <w:ind w:firstLine="420" w:firstLineChars="200"/>
        <w:rPr>
          <w:rFonts w:hint="eastAsia" w:ascii="宋体" w:hAnsi="宋体" w:cs="宋体"/>
        </w:rPr>
      </w:pPr>
      <w:r>
        <w:rPr>
          <w:rFonts w:hint="eastAsia" w:ascii="宋体" w:hAnsi="宋体" w:cs="宋体"/>
        </w:rPr>
        <w:t>尽管学术界对“捕诉一体”诸多担忧，2014年2月至2017年9月期间，具有顺德人“敢为天下先”优秀传统的顺德区检察院率先改革，将侦查监督科与公诉科合并成公诉局，分设为20个办案组，在全局范围内推行“捕诉一体”的工作机制，全面贯彻“谁批捕，谁起诉”原则。在这近三年半的时间内，顺德区检察院交出了一份满意的答卷，有力地回应了理论界对“捕诉一体”办案机制的诸多质疑。</w:t>
      </w:r>
    </w:p>
    <w:p>
      <w:pPr>
        <w:adjustRightInd w:val="0"/>
        <w:snapToGrid w:val="0"/>
        <w:spacing w:line="360" w:lineRule="auto"/>
        <w:ind w:firstLine="562" w:firstLineChars="200"/>
        <w:rPr>
          <w:rFonts w:hint="eastAsia" w:ascii="宋体" w:hAnsi="宋体" w:cs="宋体"/>
          <w:b/>
          <w:sz w:val="28"/>
          <w:szCs w:val="28"/>
        </w:rPr>
      </w:pPr>
      <w:r>
        <w:rPr>
          <w:rFonts w:hint="eastAsia" w:ascii="宋体" w:hAnsi="宋体" w:cs="宋体"/>
          <w:b/>
          <w:sz w:val="28"/>
          <w:szCs w:val="28"/>
        </w:rPr>
        <w:t>（一）实施“捕诉一体”机制的客观情况介绍（数据分析）</w:t>
      </w:r>
    </w:p>
    <w:p>
      <w:pPr>
        <w:tabs>
          <w:tab w:val="left" w:pos="6105"/>
        </w:tabs>
        <w:adjustRightInd w:val="0"/>
        <w:snapToGrid w:val="0"/>
        <w:spacing w:line="360" w:lineRule="auto"/>
        <w:ind w:firstLine="420" w:firstLineChars="200"/>
        <w:rPr>
          <w:rFonts w:hint="eastAsia" w:ascii="宋体" w:hAnsi="宋体" w:cs="宋体"/>
        </w:rPr>
      </w:pPr>
      <w:r>
        <w:rPr>
          <w:rFonts w:hint="eastAsia" w:ascii="宋体" w:hAnsi="宋体" w:cs="宋体"/>
        </w:rPr>
        <w:t>2014年2月改革以来，经运行“捕诉一体”办案机制，公诉局的批捕、起诉工作运行良好；2017年9月后，顺德区检察院又实行“捕诉分离”。下表对改革前、改革中、改革后的数据分门别类进行了统计，充分体现出“捕诉一体”较“捕诉分离”的优越性。</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5"/>
        <w:gridCol w:w="1227"/>
        <w:gridCol w:w="1189"/>
        <w:gridCol w:w="1095"/>
        <w:gridCol w:w="1152"/>
        <w:gridCol w:w="1215"/>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425" w:type="dxa"/>
          </w:tcPr>
          <w:p>
            <w:pPr>
              <w:adjustRightInd w:val="0"/>
              <w:snapToGrid w:val="0"/>
              <w:spacing w:line="360" w:lineRule="auto"/>
              <w:jc w:val="center"/>
              <w:rPr>
                <w:rFonts w:hint="eastAsia" w:ascii="宋体" w:hAnsi="宋体" w:cs="宋体"/>
                <w:b/>
                <w:bCs/>
              </w:rPr>
            </w:pPr>
            <w:r>
              <w:rPr>
                <w:rFonts w:hint="eastAsia" w:ascii="宋体" w:hAnsi="宋体" w:cs="宋体"/>
                <w:b/>
                <w:bCs/>
              </w:rPr>
              <w:t>项目名称</w:t>
            </w:r>
          </w:p>
        </w:tc>
        <w:tc>
          <w:tcPr>
            <w:tcW w:w="1227" w:type="dxa"/>
          </w:tcPr>
          <w:p>
            <w:pPr>
              <w:adjustRightInd w:val="0"/>
              <w:snapToGrid w:val="0"/>
              <w:spacing w:line="360" w:lineRule="auto"/>
              <w:jc w:val="center"/>
              <w:rPr>
                <w:rFonts w:hint="eastAsia" w:ascii="宋体" w:hAnsi="宋体" w:cs="宋体"/>
                <w:b/>
                <w:bCs/>
              </w:rPr>
            </w:pPr>
            <w:r>
              <w:rPr>
                <w:rFonts w:hint="eastAsia" w:ascii="宋体" w:hAnsi="宋体" w:cs="宋体"/>
                <w:b/>
                <w:bCs/>
              </w:rPr>
              <w:t>改革前数据</w:t>
            </w:r>
          </w:p>
          <w:p>
            <w:pPr>
              <w:adjustRightInd w:val="0"/>
              <w:snapToGrid w:val="0"/>
              <w:spacing w:line="360" w:lineRule="auto"/>
              <w:jc w:val="center"/>
              <w:rPr>
                <w:rFonts w:hint="eastAsia" w:ascii="宋体" w:hAnsi="宋体" w:cs="宋体"/>
                <w:b/>
                <w:bCs/>
              </w:rPr>
            </w:pPr>
            <w:r>
              <w:rPr>
                <w:rFonts w:hint="eastAsia" w:ascii="宋体" w:hAnsi="宋体" w:cs="宋体"/>
                <w:b/>
                <w:bCs/>
              </w:rPr>
              <w:t>（2013年）</w:t>
            </w:r>
          </w:p>
        </w:tc>
        <w:tc>
          <w:tcPr>
            <w:tcW w:w="1189" w:type="dxa"/>
          </w:tcPr>
          <w:p>
            <w:pPr>
              <w:adjustRightInd w:val="0"/>
              <w:snapToGrid w:val="0"/>
              <w:spacing w:line="360" w:lineRule="auto"/>
              <w:jc w:val="center"/>
              <w:rPr>
                <w:rFonts w:hint="eastAsia" w:ascii="宋体" w:hAnsi="宋体" w:cs="宋体"/>
                <w:b/>
                <w:bCs/>
              </w:rPr>
            </w:pPr>
            <w:r>
              <w:rPr>
                <w:rFonts w:hint="eastAsia" w:ascii="宋体" w:hAnsi="宋体" w:cs="宋体"/>
                <w:b/>
                <w:bCs/>
              </w:rPr>
              <w:t>2014年改革后数据</w:t>
            </w:r>
          </w:p>
        </w:tc>
        <w:tc>
          <w:tcPr>
            <w:tcW w:w="1095" w:type="dxa"/>
          </w:tcPr>
          <w:p>
            <w:pPr>
              <w:adjustRightInd w:val="0"/>
              <w:snapToGrid w:val="0"/>
              <w:spacing w:line="360" w:lineRule="auto"/>
              <w:jc w:val="center"/>
              <w:rPr>
                <w:rFonts w:hint="eastAsia" w:ascii="宋体" w:hAnsi="宋体" w:cs="宋体"/>
                <w:b/>
                <w:bCs/>
              </w:rPr>
            </w:pPr>
            <w:r>
              <w:rPr>
                <w:rFonts w:hint="eastAsia" w:ascii="宋体" w:hAnsi="宋体" w:cs="宋体"/>
                <w:b/>
                <w:bCs/>
              </w:rPr>
              <w:t>2015年的数据</w:t>
            </w:r>
          </w:p>
        </w:tc>
        <w:tc>
          <w:tcPr>
            <w:tcW w:w="1152" w:type="dxa"/>
          </w:tcPr>
          <w:p>
            <w:pPr>
              <w:adjustRightInd w:val="0"/>
              <w:snapToGrid w:val="0"/>
              <w:spacing w:line="360" w:lineRule="auto"/>
              <w:jc w:val="center"/>
              <w:rPr>
                <w:rFonts w:hint="eastAsia" w:ascii="宋体" w:hAnsi="宋体" w:cs="宋体"/>
                <w:b/>
                <w:bCs/>
              </w:rPr>
            </w:pPr>
            <w:r>
              <w:rPr>
                <w:rFonts w:hint="eastAsia" w:ascii="宋体" w:hAnsi="宋体" w:cs="宋体"/>
                <w:b/>
                <w:bCs/>
              </w:rPr>
              <w:t>2016年的数据</w:t>
            </w:r>
          </w:p>
        </w:tc>
        <w:tc>
          <w:tcPr>
            <w:tcW w:w="1215" w:type="dxa"/>
          </w:tcPr>
          <w:p>
            <w:pPr>
              <w:adjustRightInd w:val="0"/>
              <w:snapToGrid w:val="0"/>
              <w:spacing w:line="360" w:lineRule="auto"/>
              <w:jc w:val="center"/>
              <w:rPr>
                <w:rFonts w:hint="eastAsia" w:ascii="宋体" w:hAnsi="宋体" w:cs="宋体"/>
                <w:b/>
                <w:bCs/>
              </w:rPr>
            </w:pPr>
            <w:r>
              <w:rPr>
                <w:rFonts w:hint="eastAsia" w:ascii="宋体" w:hAnsi="宋体" w:cs="宋体"/>
                <w:b/>
                <w:bCs/>
              </w:rPr>
              <w:t>2017年1月至9月的数据</w:t>
            </w:r>
          </w:p>
        </w:tc>
        <w:tc>
          <w:tcPr>
            <w:tcW w:w="1215" w:type="dxa"/>
          </w:tcPr>
          <w:p>
            <w:pPr>
              <w:adjustRightInd w:val="0"/>
              <w:snapToGrid w:val="0"/>
              <w:spacing w:line="360" w:lineRule="auto"/>
              <w:jc w:val="center"/>
              <w:rPr>
                <w:rFonts w:hint="eastAsia" w:ascii="宋体" w:hAnsi="宋体" w:cs="宋体"/>
                <w:b/>
                <w:bCs/>
              </w:rPr>
            </w:pPr>
            <w:r>
              <w:rPr>
                <w:rFonts w:hint="eastAsia" w:ascii="宋体" w:hAnsi="宋体" w:cs="宋体"/>
                <w:b/>
                <w:bCs/>
              </w:rPr>
              <w:t>2017年10至2018年的数据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5" w:type="dxa"/>
          </w:tcPr>
          <w:p>
            <w:pPr>
              <w:adjustRightInd w:val="0"/>
              <w:snapToGrid w:val="0"/>
              <w:spacing w:line="360" w:lineRule="auto"/>
              <w:jc w:val="center"/>
              <w:rPr>
                <w:rFonts w:hint="eastAsia" w:ascii="宋体" w:hAnsi="宋体" w:cs="宋体"/>
                <w:b/>
                <w:bCs/>
              </w:rPr>
            </w:pPr>
            <w:r>
              <w:rPr>
                <w:rFonts w:hint="eastAsia" w:ascii="宋体" w:hAnsi="宋体" w:cs="宋体"/>
                <w:b/>
                <w:bCs/>
              </w:rPr>
              <w:t>第一次退回补充侦查率</w:t>
            </w:r>
          </w:p>
        </w:tc>
        <w:tc>
          <w:tcPr>
            <w:tcW w:w="1227" w:type="dxa"/>
          </w:tcPr>
          <w:p>
            <w:pPr>
              <w:adjustRightInd w:val="0"/>
              <w:snapToGrid w:val="0"/>
              <w:spacing w:line="360" w:lineRule="auto"/>
              <w:jc w:val="center"/>
              <w:rPr>
                <w:rFonts w:hint="eastAsia" w:ascii="宋体" w:hAnsi="宋体" w:cs="宋体"/>
                <w:bCs/>
              </w:rPr>
            </w:pPr>
            <w:r>
              <w:rPr>
                <w:rFonts w:hint="eastAsia" w:ascii="宋体" w:hAnsi="宋体" w:cs="宋体"/>
                <w:bCs/>
              </w:rPr>
              <w:t>33.6%</w:t>
            </w:r>
          </w:p>
        </w:tc>
        <w:tc>
          <w:tcPr>
            <w:tcW w:w="1189" w:type="dxa"/>
          </w:tcPr>
          <w:p>
            <w:pPr>
              <w:adjustRightInd w:val="0"/>
              <w:snapToGrid w:val="0"/>
              <w:spacing w:line="360" w:lineRule="auto"/>
              <w:jc w:val="center"/>
              <w:rPr>
                <w:rFonts w:hint="eastAsia" w:ascii="宋体" w:hAnsi="宋体" w:cs="宋体"/>
                <w:bCs/>
              </w:rPr>
            </w:pPr>
            <w:r>
              <w:rPr>
                <w:rFonts w:hint="eastAsia" w:ascii="宋体" w:hAnsi="宋体" w:cs="宋体"/>
                <w:bCs/>
              </w:rPr>
              <w:t>17.57%</w:t>
            </w:r>
          </w:p>
        </w:tc>
        <w:tc>
          <w:tcPr>
            <w:tcW w:w="1095" w:type="dxa"/>
          </w:tcPr>
          <w:p>
            <w:pPr>
              <w:adjustRightInd w:val="0"/>
              <w:snapToGrid w:val="0"/>
              <w:spacing w:line="360" w:lineRule="auto"/>
              <w:jc w:val="center"/>
              <w:rPr>
                <w:rFonts w:hint="eastAsia" w:ascii="宋体" w:hAnsi="宋体" w:cs="宋体"/>
                <w:bCs/>
              </w:rPr>
            </w:pPr>
            <w:r>
              <w:rPr>
                <w:rFonts w:hint="eastAsia" w:ascii="宋体" w:hAnsi="宋体" w:cs="宋体"/>
                <w:bCs/>
              </w:rPr>
              <w:t>18.3%</w:t>
            </w:r>
          </w:p>
        </w:tc>
        <w:tc>
          <w:tcPr>
            <w:tcW w:w="1152" w:type="dxa"/>
          </w:tcPr>
          <w:p>
            <w:pPr>
              <w:adjustRightInd w:val="0"/>
              <w:snapToGrid w:val="0"/>
              <w:spacing w:line="360" w:lineRule="auto"/>
              <w:jc w:val="center"/>
              <w:rPr>
                <w:rFonts w:hint="eastAsia" w:ascii="宋体" w:hAnsi="宋体" w:cs="宋体"/>
                <w:bCs/>
              </w:rPr>
            </w:pPr>
            <w:r>
              <w:rPr>
                <w:rFonts w:hint="eastAsia" w:ascii="宋体" w:hAnsi="宋体" w:cs="宋体"/>
                <w:bCs/>
              </w:rPr>
              <w:t>17.13%</w:t>
            </w:r>
          </w:p>
        </w:tc>
        <w:tc>
          <w:tcPr>
            <w:tcW w:w="1215" w:type="dxa"/>
          </w:tcPr>
          <w:p>
            <w:pPr>
              <w:adjustRightInd w:val="0"/>
              <w:snapToGrid w:val="0"/>
              <w:spacing w:line="360" w:lineRule="auto"/>
              <w:jc w:val="center"/>
              <w:rPr>
                <w:rFonts w:hint="eastAsia" w:ascii="宋体" w:hAnsi="宋体" w:cs="宋体"/>
                <w:bCs/>
              </w:rPr>
            </w:pPr>
            <w:r>
              <w:rPr>
                <w:rFonts w:hint="eastAsia" w:ascii="宋体" w:hAnsi="宋体" w:cs="宋体"/>
                <w:bCs/>
              </w:rPr>
              <w:t>15.37%</w:t>
            </w:r>
          </w:p>
        </w:tc>
        <w:tc>
          <w:tcPr>
            <w:tcW w:w="1215" w:type="dxa"/>
          </w:tcPr>
          <w:p>
            <w:pPr>
              <w:adjustRightInd w:val="0"/>
              <w:snapToGrid w:val="0"/>
              <w:spacing w:line="360" w:lineRule="auto"/>
              <w:jc w:val="center"/>
              <w:rPr>
                <w:rFonts w:hint="eastAsia" w:ascii="宋体" w:hAnsi="宋体" w:cs="宋体"/>
                <w:bCs/>
              </w:rPr>
            </w:pPr>
            <w:r>
              <w:rPr>
                <w:rFonts w:hint="eastAsia" w:ascii="宋体" w:hAnsi="宋体" w:cs="宋体"/>
                <w:bCs/>
              </w:rPr>
              <w:t>24.13%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5" w:type="dxa"/>
          </w:tcPr>
          <w:p>
            <w:pPr>
              <w:adjustRightInd w:val="0"/>
              <w:snapToGrid w:val="0"/>
              <w:spacing w:line="360" w:lineRule="auto"/>
              <w:jc w:val="center"/>
              <w:rPr>
                <w:rFonts w:hint="eastAsia" w:ascii="宋体" w:hAnsi="宋体" w:cs="宋体"/>
                <w:b/>
                <w:bCs/>
              </w:rPr>
            </w:pPr>
            <w:r>
              <w:rPr>
                <w:rFonts w:hint="eastAsia" w:ascii="宋体" w:hAnsi="宋体" w:cs="宋体"/>
                <w:b/>
                <w:bCs/>
              </w:rPr>
              <w:t>第二次退回补充侦查率</w:t>
            </w:r>
          </w:p>
        </w:tc>
        <w:tc>
          <w:tcPr>
            <w:tcW w:w="1227" w:type="dxa"/>
          </w:tcPr>
          <w:p>
            <w:pPr>
              <w:adjustRightInd w:val="0"/>
              <w:snapToGrid w:val="0"/>
              <w:spacing w:line="360" w:lineRule="auto"/>
              <w:jc w:val="center"/>
              <w:rPr>
                <w:rFonts w:hint="eastAsia" w:ascii="宋体" w:hAnsi="宋体" w:cs="宋体"/>
                <w:bCs/>
              </w:rPr>
            </w:pPr>
            <w:r>
              <w:rPr>
                <w:rFonts w:hint="eastAsia" w:ascii="宋体" w:hAnsi="宋体" w:cs="宋体"/>
                <w:bCs/>
              </w:rPr>
              <w:t>12.03%</w:t>
            </w:r>
          </w:p>
        </w:tc>
        <w:tc>
          <w:tcPr>
            <w:tcW w:w="1189" w:type="dxa"/>
          </w:tcPr>
          <w:p>
            <w:pPr>
              <w:adjustRightInd w:val="0"/>
              <w:snapToGrid w:val="0"/>
              <w:spacing w:line="360" w:lineRule="auto"/>
              <w:jc w:val="center"/>
              <w:rPr>
                <w:rFonts w:hint="eastAsia" w:ascii="宋体" w:hAnsi="宋体" w:cs="宋体"/>
                <w:bCs/>
              </w:rPr>
            </w:pPr>
            <w:r>
              <w:rPr>
                <w:rFonts w:hint="eastAsia" w:ascii="宋体" w:hAnsi="宋体" w:cs="宋体"/>
                <w:bCs/>
              </w:rPr>
              <w:t>2.61%</w:t>
            </w:r>
          </w:p>
        </w:tc>
        <w:tc>
          <w:tcPr>
            <w:tcW w:w="1095" w:type="dxa"/>
          </w:tcPr>
          <w:p>
            <w:pPr>
              <w:adjustRightInd w:val="0"/>
              <w:snapToGrid w:val="0"/>
              <w:spacing w:line="360" w:lineRule="auto"/>
              <w:jc w:val="center"/>
              <w:rPr>
                <w:rFonts w:hint="eastAsia" w:ascii="宋体" w:hAnsi="宋体" w:cs="宋体"/>
                <w:bCs/>
              </w:rPr>
            </w:pPr>
            <w:r>
              <w:rPr>
                <w:rFonts w:hint="eastAsia" w:ascii="宋体" w:hAnsi="宋体" w:cs="宋体"/>
                <w:bCs/>
              </w:rPr>
              <w:t>5.23%</w:t>
            </w:r>
          </w:p>
        </w:tc>
        <w:tc>
          <w:tcPr>
            <w:tcW w:w="1152" w:type="dxa"/>
          </w:tcPr>
          <w:p>
            <w:pPr>
              <w:adjustRightInd w:val="0"/>
              <w:snapToGrid w:val="0"/>
              <w:spacing w:line="360" w:lineRule="auto"/>
              <w:jc w:val="center"/>
              <w:rPr>
                <w:rFonts w:hint="eastAsia" w:ascii="宋体" w:hAnsi="宋体" w:cs="宋体"/>
                <w:bCs/>
              </w:rPr>
            </w:pPr>
            <w:r>
              <w:rPr>
                <w:rFonts w:hint="eastAsia" w:ascii="宋体" w:hAnsi="宋体" w:cs="宋体"/>
                <w:bCs/>
              </w:rPr>
              <w:t>5.46%</w:t>
            </w:r>
          </w:p>
        </w:tc>
        <w:tc>
          <w:tcPr>
            <w:tcW w:w="1215" w:type="dxa"/>
          </w:tcPr>
          <w:p>
            <w:pPr>
              <w:adjustRightInd w:val="0"/>
              <w:snapToGrid w:val="0"/>
              <w:spacing w:line="360" w:lineRule="auto"/>
              <w:jc w:val="center"/>
              <w:rPr>
                <w:rFonts w:hint="eastAsia" w:ascii="宋体" w:hAnsi="宋体" w:cs="宋体"/>
                <w:bCs/>
              </w:rPr>
            </w:pPr>
            <w:r>
              <w:rPr>
                <w:rFonts w:hint="eastAsia" w:ascii="宋体" w:hAnsi="宋体" w:cs="宋体"/>
                <w:bCs/>
              </w:rPr>
              <w:t>5.28%</w:t>
            </w:r>
          </w:p>
        </w:tc>
        <w:tc>
          <w:tcPr>
            <w:tcW w:w="1215" w:type="dxa"/>
          </w:tcPr>
          <w:p>
            <w:pPr>
              <w:adjustRightInd w:val="0"/>
              <w:snapToGrid w:val="0"/>
              <w:spacing w:line="360" w:lineRule="auto"/>
              <w:jc w:val="center"/>
              <w:rPr>
                <w:rFonts w:hint="eastAsia" w:ascii="宋体" w:hAnsi="宋体" w:cs="宋体"/>
                <w:bCs/>
              </w:rPr>
            </w:pPr>
            <w:r>
              <w:rPr>
                <w:rFonts w:hint="eastAsia" w:ascii="宋体" w:hAnsi="宋体" w:cs="宋体"/>
                <w:bCs/>
              </w:rPr>
              <w:t>10.23%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5" w:type="dxa"/>
          </w:tcPr>
          <w:p>
            <w:pPr>
              <w:adjustRightInd w:val="0"/>
              <w:snapToGrid w:val="0"/>
              <w:spacing w:line="360" w:lineRule="auto"/>
              <w:jc w:val="center"/>
              <w:rPr>
                <w:rFonts w:hint="eastAsia" w:ascii="宋体" w:hAnsi="宋体" w:cs="宋体"/>
                <w:b/>
                <w:bCs/>
              </w:rPr>
            </w:pPr>
            <w:r>
              <w:rPr>
                <w:rFonts w:hint="eastAsia" w:ascii="宋体" w:hAnsi="宋体" w:cs="宋体"/>
                <w:b/>
                <w:bCs/>
              </w:rPr>
              <w:t>不捕率</w:t>
            </w:r>
          </w:p>
        </w:tc>
        <w:tc>
          <w:tcPr>
            <w:tcW w:w="1227" w:type="dxa"/>
          </w:tcPr>
          <w:p>
            <w:pPr>
              <w:adjustRightInd w:val="0"/>
              <w:snapToGrid w:val="0"/>
              <w:spacing w:line="360" w:lineRule="auto"/>
              <w:jc w:val="center"/>
              <w:rPr>
                <w:rFonts w:hint="eastAsia" w:ascii="宋体" w:hAnsi="宋体" w:cs="宋体"/>
                <w:bCs/>
              </w:rPr>
            </w:pPr>
            <w:r>
              <w:rPr>
                <w:rFonts w:hint="eastAsia" w:ascii="宋体" w:hAnsi="宋体" w:cs="宋体"/>
                <w:bCs/>
              </w:rPr>
              <w:t>12.9%</w:t>
            </w:r>
          </w:p>
        </w:tc>
        <w:tc>
          <w:tcPr>
            <w:tcW w:w="1189" w:type="dxa"/>
          </w:tcPr>
          <w:p>
            <w:pPr>
              <w:adjustRightInd w:val="0"/>
              <w:snapToGrid w:val="0"/>
              <w:spacing w:line="360" w:lineRule="auto"/>
              <w:jc w:val="center"/>
              <w:rPr>
                <w:rFonts w:hint="eastAsia" w:ascii="宋体" w:hAnsi="宋体" w:cs="宋体"/>
                <w:bCs/>
              </w:rPr>
            </w:pPr>
            <w:r>
              <w:rPr>
                <w:rFonts w:hint="eastAsia" w:ascii="宋体" w:hAnsi="宋体" w:cs="宋体"/>
                <w:bCs/>
              </w:rPr>
              <w:t>12.2%</w:t>
            </w:r>
          </w:p>
        </w:tc>
        <w:tc>
          <w:tcPr>
            <w:tcW w:w="1095" w:type="dxa"/>
          </w:tcPr>
          <w:p>
            <w:pPr>
              <w:adjustRightInd w:val="0"/>
              <w:snapToGrid w:val="0"/>
              <w:spacing w:line="360" w:lineRule="auto"/>
              <w:jc w:val="center"/>
              <w:rPr>
                <w:rFonts w:hint="eastAsia" w:ascii="宋体" w:hAnsi="宋体" w:cs="宋体"/>
                <w:bCs/>
              </w:rPr>
            </w:pPr>
            <w:r>
              <w:rPr>
                <w:rFonts w:hint="eastAsia" w:ascii="宋体" w:hAnsi="宋体" w:cs="宋体"/>
                <w:bCs/>
              </w:rPr>
              <w:t>12.1%</w:t>
            </w:r>
          </w:p>
        </w:tc>
        <w:tc>
          <w:tcPr>
            <w:tcW w:w="1152" w:type="dxa"/>
          </w:tcPr>
          <w:p>
            <w:pPr>
              <w:adjustRightInd w:val="0"/>
              <w:snapToGrid w:val="0"/>
              <w:spacing w:line="360" w:lineRule="auto"/>
              <w:jc w:val="center"/>
              <w:rPr>
                <w:rFonts w:hint="eastAsia" w:ascii="宋体" w:hAnsi="宋体" w:cs="宋体"/>
                <w:bCs/>
              </w:rPr>
            </w:pPr>
            <w:r>
              <w:rPr>
                <w:rFonts w:hint="eastAsia" w:ascii="宋体" w:hAnsi="宋体" w:cs="宋体"/>
                <w:bCs/>
              </w:rPr>
              <w:t>14.9%</w:t>
            </w:r>
          </w:p>
        </w:tc>
        <w:tc>
          <w:tcPr>
            <w:tcW w:w="1215" w:type="dxa"/>
          </w:tcPr>
          <w:p>
            <w:pPr>
              <w:adjustRightInd w:val="0"/>
              <w:snapToGrid w:val="0"/>
              <w:spacing w:line="360" w:lineRule="auto"/>
              <w:jc w:val="center"/>
              <w:rPr>
                <w:rFonts w:hint="eastAsia" w:ascii="宋体" w:hAnsi="宋体" w:cs="宋体"/>
                <w:bCs/>
              </w:rPr>
            </w:pPr>
            <w:r>
              <w:rPr>
                <w:rFonts w:hint="eastAsia" w:ascii="宋体" w:hAnsi="宋体" w:cs="宋体"/>
                <w:bCs/>
              </w:rPr>
              <w:t>6.37%</w:t>
            </w:r>
          </w:p>
        </w:tc>
        <w:tc>
          <w:tcPr>
            <w:tcW w:w="1215" w:type="dxa"/>
          </w:tcPr>
          <w:p>
            <w:pPr>
              <w:adjustRightInd w:val="0"/>
              <w:snapToGrid w:val="0"/>
              <w:spacing w:line="360" w:lineRule="auto"/>
              <w:jc w:val="center"/>
              <w:rPr>
                <w:rFonts w:hint="eastAsia" w:ascii="宋体" w:hAnsi="宋体" w:cs="宋体"/>
                <w:bCs/>
              </w:rPr>
            </w:pPr>
            <w:r>
              <w:rPr>
                <w:rFonts w:hint="eastAsia" w:ascii="宋体" w:hAnsi="宋体" w:cs="宋体"/>
                <w:bCs/>
              </w:rPr>
              <w:t>9.31%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5" w:type="dxa"/>
          </w:tcPr>
          <w:p>
            <w:pPr>
              <w:adjustRightInd w:val="0"/>
              <w:snapToGrid w:val="0"/>
              <w:spacing w:line="360" w:lineRule="auto"/>
              <w:jc w:val="center"/>
              <w:rPr>
                <w:rFonts w:hint="eastAsia" w:ascii="宋体" w:hAnsi="宋体" w:cs="宋体"/>
                <w:b/>
                <w:bCs/>
              </w:rPr>
            </w:pPr>
            <w:r>
              <w:rPr>
                <w:rFonts w:hint="eastAsia" w:ascii="宋体" w:hAnsi="宋体" w:cs="宋体"/>
                <w:b/>
                <w:bCs/>
              </w:rPr>
              <w:t>复议、复核率</w:t>
            </w:r>
          </w:p>
        </w:tc>
        <w:tc>
          <w:tcPr>
            <w:tcW w:w="1227" w:type="dxa"/>
          </w:tcPr>
          <w:p>
            <w:pPr>
              <w:adjustRightInd w:val="0"/>
              <w:snapToGrid w:val="0"/>
              <w:spacing w:line="360" w:lineRule="auto"/>
              <w:jc w:val="center"/>
              <w:rPr>
                <w:rFonts w:hint="eastAsia" w:ascii="宋体" w:hAnsi="宋体" w:cs="宋体"/>
                <w:bCs/>
              </w:rPr>
            </w:pPr>
            <w:r>
              <w:rPr>
                <w:rFonts w:hint="eastAsia" w:ascii="宋体" w:hAnsi="宋体" w:cs="宋体"/>
                <w:bCs/>
              </w:rPr>
              <w:t>0.20%</w:t>
            </w:r>
          </w:p>
        </w:tc>
        <w:tc>
          <w:tcPr>
            <w:tcW w:w="1189" w:type="dxa"/>
          </w:tcPr>
          <w:p>
            <w:pPr>
              <w:adjustRightInd w:val="0"/>
              <w:snapToGrid w:val="0"/>
              <w:spacing w:line="360" w:lineRule="auto"/>
              <w:jc w:val="center"/>
              <w:rPr>
                <w:rFonts w:hint="eastAsia" w:ascii="宋体" w:hAnsi="宋体" w:cs="宋体"/>
                <w:bCs/>
              </w:rPr>
            </w:pPr>
            <w:r>
              <w:rPr>
                <w:rFonts w:hint="eastAsia" w:ascii="宋体" w:hAnsi="宋体" w:cs="宋体"/>
                <w:bCs/>
              </w:rPr>
              <w:t>0.07%</w:t>
            </w:r>
          </w:p>
        </w:tc>
        <w:tc>
          <w:tcPr>
            <w:tcW w:w="1095" w:type="dxa"/>
          </w:tcPr>
          <w:p>
            <w:pPr>
              <w:adjustRightInd w:val="0"/>
              <w:snapToGrid w:val="0"/>
              <w:spacing w:line="360" w:lineRule="auto"/>
              <w:jc w:val="center"/>
              <w:rPr>
                <w:rFonts w:hint="eastAsia" w:ascii="宋体" w:hAnsi="宋体" w:cs="宋体"/>
                <w:bCs/>
              </w:rPr>
            </w:pPr>
            <w:r>
              <w:rPr>
                <w:rFonts w:hint="eastAsia" w:ascii="宋体" w:hAnsi="宋体" w:cs="宋体"/>
                <w:bCs/>
              </w:rPr>
              <w:t>0．20%</w:t>
            </w:r>
          </w:p>
        </w:tc>
        <w:tc>
          <w:tcPr>
            <w:tcW w:w="1152" w:type="dxa"/>
          </w:tcPr>
          <w:p>
            <w:pPr>
              <w:adjustRightInd w:val="0"/>
              <w:snapToGrid w:val="0"/>
              <w:spacing w:line="360" w:lineRule="auto"/>
              <w:jc w:val="center"/>
              <w:rPr>
                <w:rFonts w:hint="eastAsia" w:ascii="宋体" w:hAnsi="宋体" w:cs="宋体"/>
                <w:bCs/>
              </w:rPr>
            </w:pPr>
            <w:r>
              <w:rPr>
                <w:rFonts w:hint="eastAsia" w:ascii="宋体" w:hAnsi="宋体" w:cs="宋体"/>
                <w:bCs/>
              </w:rPr>
              <w:t>0.06%</w:t>
            </w:r>
          </w:p>
        </w:tc>
        <w:tc>
          <w:tcPr>
            <w:tcW w:w="1215" w:type="dxa"/>
          </w:tcPr>
          <w:p>
            <w:pPr>
              <w:adjustRightInd w:val="0"/>
              <w:snapToGrid w:val="0"/>
              <w:spacing w:line="360" w:lineRule="auto"/>
              <w:jc w:val="center"/>
              <w:rPr>
                <w:rFonts w:hint="eastAsia" w:ascii="宋体" w:hAnsi="宋体" w:cs="宋体"/>
                <w:bCs/>
              </w:rPr>
            </w:pPr>
            <w:r>
              <w:rPr>
                <w:rFonts w:hint="eastAsia" w:ascii="宋体" w:hAnsi="宋体" w:cs="宋体"/>
                <w:bCs/>
              </w:rPr>
              <w:t>0.03%</w:t>
            </w:r>
          </w:p>
        </w:tc>
        <w:tc>
          <w:tcPr>
            <w:tcW w:w="1215" w:type="dxa"/>
          </w:tcPr>
          <w:p>
            <w:pPr>
              <w:adjustRightInd w:val="0"/>
              <w:snapToGrid w:val="0"/>
              <w:spacing w:line="360" w:lineRule="auto"/>
              <w:jc w:val="center"/>
              <w:rPr>
                <w:rFonts w:hint="eastAsia" w:ascii="宋体" w:hAnsi="宋体" w:cs="宋体"/>
                <w:bCs/>
              </w:rPr>
            </w:pPr>
            <w:r>
              <w:rPr>
                <w:rFonts w:hint="eastAsia" w:ascii="宋体" w:hAnsi="宋体" w:cs="宋体"/>
                <w:bCs/>
              </w:rP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5" w:type="dxa"/>
          </w:tcPr>
          <w:p>
            <w:pPr>
              <w:adjustRightInd w:val="0"/>
              <w:snapToGrid w:val="0"/>
              <w:spacing w:line="360" w:lineRule="auto"/>
              <w:jc w:val="center"/>
              <w:rPr>
                <w:rFonts w:hint="eastAsia" w:ascii="宋体" w:hAnsi="宋体" w:cs="宋体"/>
                <w:b/>
                <w:bCs/>
              </w:rPr>
            </w:pPr>
            <w:r>
              <w:rPr>
                <w:rFonts w:hint="eastAsia" w:ascii="宋体" w:hAnsi="宋体" w:cs="宋体"/>
                <w:b/>
                <w:bCs/>
              </w:rPr>
              <w:t>复议、复核后改变不捕决定的案件比</w:t>
            </w:r>
          </w:p>
        </w:tc>
        <w:tc>
          <w:tcPr>
            <w:tcW w:w="1227" w:type="dxa"/>
          </w:tcPr>
          <w:p>
            <w:pPr>
              <w:adjustRightInd w:val="0"/>
              <w:snapToGrid w:val="0"/>
              <w:spacing w:line="360" w:lineRule="auto"/>
              <w:jc w:val="center"/>
              <w:rPr>
                <w:rFonts w:hint="eastAsia" w:ascii="宋体" w:hAnsi="宋体" w:cs="宋体"/>
                <w:bCs/>
              </w:rPr>
            </w:pPr>
            <w:r>
              <w:rPr>
                <w:rFonts w:hint="eastAsia" w:ascii="宋体" w:hAnsi="宋体" w:cs="宋体"/>
                <w:bCs/>
              </w:rPr>
              <w:t>0</w:t>
            </w:r>
          </w:p>
        </w:tc>
        <w:tc>
          <w:tcPr>
            <w:tcW w:w="1189" w:type="dxa"/>
          </w:tcPr>
          <w:p>
            <w:pPr>
              <w:adjustRightInd w:val="0"/>
              <w:snapToGrid w:val="0"/>
              <w:spacing w:line="360" w:lineRule="auto"/>
              <w:jc w:val="center"/>
              <w:rPr>
                <w:rFonts w:hint="eastAsia" w:ascii="宋体" w:hAnsi="宋体" w:cs="宋体"/>
                <w:bCs/>
              </w:rPr>
            </w:pPr>
            <w:r>
              <w:rPr>
                <w:rFonts w:hint="eastAsia" w:ascii="宋体" w:hAnsi="宋体" w:cs="宋体"/>
                <w:bCs/>
              </w:rPr>
              <w:t>0</w:t>
            </w:r>
          </w:p>
        </w:tc>
        <w:tc>
          <w:tcPr>
            <w:tcW w:w="1095" w:type="dxa"/>
          </w:tcPr>
          <w:p>
            <w:pPr>
              <w:adjustRightInd w:val="0"/>
              <w:snapToGrid w:val="0"/>
              <w:spacing w:line="360" w:lineRule="auto"/>
              <w:jc w:val="center"/>
              <w:rPr>
                <w:rFonts w:hint="eastAsia" w:ascii="宋体" w:hAnsi="宋体" w:cs="宋体"/>
                <w:bCs/>
              </w:rPr>
            </w:pPr>
            <w:r>
              <w:rPr>
                <w:rFonts w:hint="eastAsia" w:ascii="宋体" w:hAnsi="宋体" w:cs="宋体"/>
                <w:bCs/>
              </w:rPr>
              <w:t>0</w:t>
            </w:r>
          </w:p>
        </w:tc>
        <w:tc>
          <w:tcPr>
            <w:tcW w:w="1152" w:type="dxa"/>
          </w:tcPr>
          <w:p>
            <w:pPr>
              <w:adjustRightInd w:val="0"/>
              <w:snapToGrid w:val="0"/>
              <w:spacing w:line="360" w:lineRule="auto"/>
              <w:jc w:val="center"/>
              <w:rPr>
                <w:rFonts w:hint="eastAsia" w:ascii="宋体" w:hAnsi="宋体" w:cs="宋体"/>
                <w:bCs/>
              </w:rPr>
            </w:pPr>
            <w:r>
              <w:rPr>
                <w:rFonts w:hint="eastAsia" w:ascii="宋体" w:hAnsi="宋体" w:cs="宋体"/>
                <w:bCs/>
              </w:rPr>
              <w:t>0</w:t>
            </w:r>
          </w:p>
        </w:tc>
        <w:tc>
          <w:tcPr>
            <w:tcW w:w="1215" w:type="dxa"/>
          </w:tcPr>
          <w:p>
            <w:pPr>
              <w:adjustRightInd w:val="0"/>
              <w:snapToGrid w:val="0"/>
              <w:spacing w:line="360" w:lineRule="auto"/>
              <w:jc w:val="center"/>
              <w:rPr>
                <w:rFonts w:hint="eastAsia" w:ascii="宋体" w:hAnsi="宋体" w:cs="宋体"/>
                <w:bCs/>
              </w:rPr>
            </w:pPr>
            <w:r>
              <w:rPr>
                <w:rFonts w:hint="eastAsia" w:ascii="宋体" w:hAnsi="宋体" w:cs="宋体"/>
                <w:bCs/>
              </w:rPr>
              <w:t>0</w:t>
            </w:r>
          </w:p>
        </w:tc>
        <w:tc>
          <w:tcPr>
            <w:tcW w:w="1215" w:type="dxa"/>
          </w:tcPr>
          <w:p>
            <w:pPr>
              <w:adjustRightInd w:val="0"/>
              <w:snapToGrid w:val="0"/>
              <w:spacing w:line="360" w:lineRule="auto"/>
              <w:jc w:val="center"/>
              <w:rPr>
                <w:rFonts w:hint="eastAsia" w:ascii="宋体" w:hAnsi="宋体" w:cs="宋体"/>
                <w:bCs/>
              </w:rPr>
            </w:pPr>
            <w:r>
              <w:rPr>
                <w:rFonts w:hint="eastAsia" w:ascii="宋体" w:hAnsi="宋体" w:cs="宋体"/>
                <w:bC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425" w:type="dxa"/>
          </w:tcPr>
          <w:p>
            <w:pPr>
              <w:adjustRightInd w:val="0"/>
              <w:snapToGrid w:val="0"/>
              <w:spacing w:line="360" w:lineRule="auto"/>
              <w:jc w:val="center"/>
              <w:rPr>
                <w:rFonts w:hint="eastAsia" w:ascii="宋体" w:hAnsi="宋体" w:cs="宋体"/>
                <w:b/>
                <w:bCs/>
              </w:rPr>
            </w:pPr>
            <w:r>
              <w:rPr>
                <w:rFonts w:hint="eastAsia" w:ascii="宋体" w:hAnsi="宋体" w:cs="宋体"/>
                <w:b/>
                <w:bCs/>
              </w:rPr>
              <w:t>捕后存疑不起诉率</w:t>
            </w:r>
          </w:p>
        </w:tc>
        <w:tc>
          <w:tcPr>
            <w:tcW w:w="1227" w:type="dxa"/>
          </w:tcPr>
          <w:p>
            <w:pPr>
              <w:adjustRightInd w:val="0"/>
              <w:snapToGrid w:val="0"/>
              <w:spacing w:line="360" w:lineRule="auto"/>
              <w:jc w:val="center"/>
              <w:rPr>
                <w:rFonts w:hint="eastAsia" w:ascii="宋体" w:hAnsi="宋体" w:cs="宋体"/>
                <w:bCs/>
              </w:rPr>
            </w:pPr>
            <w:r>
              <w:rPr>
                <w:rFonts w:hint="eastAsia" w:ascii="宋体" w:hAnsi="宋体" w:cs="宋体"/>
                <w:bCs/>
              </w:rPr>
              <w:t>2.91%</w:t>
            </w:r>
          </w:p>
        </w:tc>
        <w:tc>
          <w:tcPr>
            <w:tcW w:w="1189" w:type="dxa"/>
          </w:tcPr>
          <w:p>
            <w:pPr>
              <w:adjustRightInd w:val="0"/>
              <w:snapToGrid w:val="0"/>
              <w:spacing w:line="360" w:lineRule="auto"/>
              <w:jc w:val="center"/>
              <w:rPr>
                <w:rFonts w:hint="eastAsia" w:ascii="宋体" w:hAnsi="宋体" w:cs="宋体"/>
                <w:bCs/>
              </w:rPr>
            </w:pPr>
            <w:r>
              <w:rPr>
                <w:rFonts w:hint="eastAsia" w:ascii="宋体" w:hAnsi="宋体" w:cs="宋体"/>
                <w:bCs/>
              </w:rPr>
              <w:t>0.41%</w:t>
            </w:r>
          </w:p>
        </w:tc>
        <w:tc>
          <w:tcPr>
            <w:tcW w:w="1095" w:type="dxa"/>
          </w:tcPr>
          <w:p>
            <w:pPr>
              <w:adjustRightInd w:val="0"/>
              <w:snapToGrid w:val="0"/>
              <w:spacing w:line="360" w:lineRule="auto"/>
              <w:jc w:val="center"/>
              <w:rPr>
                <w:rFonts w:hint="eastAsia" w:ascii="宋体" w:hAnsi="宋体" w:cs="宋体"/>
                <w:bCs/>
              </w:rPr>
            </w:pPr>
            <w:r>
              <w:rPr>
                <w:rFonts w:hint="eastAsia" w:ascii="宋体" w:hAnsi="宋体" w:cs="宋体"/>
                <w:bCs/>
              </w:rPr>
              <w:t>0.12%</w:t>
            </w:r>
          </w:p>
        </w:tc>
        <w:tc>
          <w:tcPr>
            <w:tcW w:w="1152" w:type="dxa"/>
          </w:tcPr>
          <w:p>
            <w:pPr>
              <w:adjustRightInd w:val="0"/>
              <w:snapToGrid w:val="0"/>
              <w:spacing w:line="360" w:lineRule="auto"/>
              <w:jc w:val="center"/>
              <w:rPr>
                <w:rFonts w:hint="eastAsia" w:ascii="宋体" w:hAnsi="宋体" w:cs="宋体"/>
                <w:bCs/>
              </w:rPr>
            </w:pPr>
            <w:r>
              <w:rPr>
                <w:rFonts w:hint="eastAsia" w:ascii="宋体" w:hAnsi="宋体" w:cs="宋体"/>
                <w:bCs/>
              </w:rPr>
              <w:t>0.35%</w:t>
            </w:r>
          </w:p>
        </w:tc>
        <w:tc>
          <w:tcPr>
            <w:tcW w:w="1215" w:type="dxa"/>
          </w:tcPr>
          <w:p>
            <w:pPr>
              <w:adjustRightInd w:val="0"/>
              <w:snapToGrid w:val="0"/>
              <w:spacing w:line="360" w:lineRule="auto"/>
              <w:jc w:val="center"/>
              <w:rPr>
                <w:rFonts w:hint="eastAsia" w:ascii="宋体" w:hAnsi="宋体" w:cs="宋体"/>
                <w:bCs/>
              </w:rPr>
            </w:pPr>
            <w:r>
              <w:rPr>
                <w:rFonts w:hint="eastAsia" w:ascii="宋体" w:hAnsi="宋体" w:cs="宋体"/>
                <w:bCs/>
              </w:rPr>
              <w:t>0.41%</w:t>
            </w:r>
          </w:p>
        </w:tc>
        <w:tc>
          <w:tcPr>
            <w:tcW w:w="1215" w:type="dxa"/>
          </w:tcPr>
          <w:p>
            <w:pPr>
              <w:adjustRightInd w:val="0"/>
              <w:snapToGrid w:val="0"/>
              <w:spacing w:line="360" w:lineRule="auto"/>
              <w:jc w:val="center"/>
              <w:rPr>
                <w:rFonts w:hint="eastAsia" w:ascii="宋体" w:hAnsi="宋体" w:cs="宋体"/>
                <w:bCs/>
              </w:rPr>
            </w:pPr>
            <w:r>
              <w:rPr>
                <w:rFonts w:hint="eastAsia" w:ascii="宋体" w:hAnsi="宋体" w:cs="宋体"/>
                <w:bCs/>
              </w:rPr>
              <w:t>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5" w:type="dxa"/>
          </w:tcPr>
          <w:p>
            <w:pPr>
              <w:adjustRightInd w:val="0"/>
              <w:snapToGrid w:val="0"/>
              <w:spacing w:line="360" w:lineRule="auto"/>
              <w:jc w:val="center"/>
              <w:rPr>
                <w:rFonts w:hint="eastAsia" w:ascii="宋体" w:hAnsi="宋体" w:cs="宋体"/>
                <w:b/>
                <w:bCs/>
              </w:rPr>
            </w:pPr>
            <w:r>
              <w:rPr>
                <w:rFonts w:hint="eastAsia" w:ascii="宋体" w:hAnsi="宋体" w:cs="宋体"/>
                <w:b/>
                <w:bCs/>
              </w:rPr>
              <w:t>公诉案件</w:t>
            </w:r>
          </w:p>
          <w:p>
            <w:pPr>
              <w:adjustRightInd w:val="0"/>
              <w:snapToGrid w:val="0"/>
              <w:spacing w:line="360" w:lineRule="auto"/>
              <w:jc w:val="center"/>
              <w:rPr>
                <w:rFonts w:hint="eastAsia" w:ascii="宋体" w:hAnsi="宋体" w:cs="宋体"/>
                <w:b/>
                <w:bCs/>
              </w:rPr>
            </w:pPr>
            <w:r>
              <w:rPr>
                <w:rFonts w:hint="eastAsia" w:ascii="宋体" w:hAnsi="宋体" w:cs="宋体"/>
                <w:b/>
                <w:bCs/>
              </w:rPr>
              <w:t>撤诉率</w:t>
            </w:r>
          </w:p>
        </w:tc>
        <w:tc>
          <w:tcPr>
            <w:tcW w:w="1227" w:type="dxa"/>
          </w:tcPr>
          <w:p>
            <w:pPr>
              <w:adjustRightInd w:val="0"/>
              <w:snapToGrid w:val="0"/>
              <w:spacing w:line="360" w:lineRule="auto"/>
              <w:jc w:val="center"/>
              <w:rPr>
                <w:rFonts w:hint="eastAsia" w:ascii="宋体" w:hAnsi="宋体" w:cs="宋体"/>
                <w:bCs/>
              </w:rPr>
            </w:pPr>
            <w:r>
              <w:rPr>
                <w:rFonts w:hint="eastAsia" w:ascii="宋体" w:hAnsi="宋体" w:cs="宋体"/>
                <w:bCs/>
              </w:rPr>
              <w:t>0.41%</w:t>
            </w:r>
          </w:p>
        </w:tc>
        <w:tc>
          <w:tcPr>
            <w:tcW w:w="1189" w:type="dxa"/>
          </w:tcPr>
          <w:p>
            <w:pPr>
              <w:adjustRightInd w:val="0"/>
              <w:snapToGrid w:val="0"/>
              <w:spacing w:line="360" w:lineRule="auto"/>
              <w:jc w:val="center"/>
              <w:rPr>
                <w:rFonts w:hint="eastAsia" w:ascii="宋体" w:hAnsi="宋体" w:cs="宋体"/>
                <w:bCs/>
              </w:rPr>
            </w:pPr>
            <w:r>
              <w:rPr>
                <w:rFonts w:hint="eastAsia" w:ascii="宋体" w:hAnsi="宋体" w:cs="宋体"/>
                <w:bCs/>
              </w:rPr>
              <w:t>0</w:t>
            </w:r>
          </w:p>
        </w:tc>
        <w:tc>
          <w:tcPr>
            <w:tcW w:w="1095" w:type="dxa"/>
          </w:tcPr>
          <w:p>
            <w:pPr>
              <w:adjustRightInd w:val="0"/>
              <w:snapToGrid w:val="0"/>
              <w:spacing w:line="360" w:lineRule="auto"/>
              <w:jc w:val="center"/>
              <w:rPr>
                <w:rFonts w:hint="eastAsia" w:ascii="宋体" w:hAnsi="宋体" w:cs="宋体"/>
                <w:bCs/>
              </w:rPr>
            </w:pPr>
            <w:r>
              <w:rPr>
                <w:rFonts w:hint="eastAsia" w:ascii="宋体" w:hAnsi="宋体" w:cs="宋体"/>
                <w:bCs/>
              </w:rPr>
              <w:t>0.017%</w:t>
            </w:r>
          </w:p>
        </w:tc>
        <w:tc>
          <w:tcPr>
            <w:tcW w:w="1152" w:type="dxa"/>
          </w:tcPr>
          <w:p>
            <w:pPr>
              <w:adjustRightInd w:val="0"/>
              <w:snapToGrid w:val="0"/>
              <w:spacing w:line="360" w:lineRule="auto"/>
              <w:jc w:val="center"/>
              <w:rPr>
                <w:rFonts w:hint="eastAsia" w:ascii="宋体" w:hAnsi="宋体" w:cs="宋体"/>
                <w:bCs/>
              </w:rPr>
            </w:pPr>
            <w:r>
              <w:rPr>
                <w:rFonts w:hint="eastAsia" w:ascii="宋体" w:hAnsi="宋体" w:cs="宋体"/>
                <w:bCs/>
              </w:rPr>
              <w:t>0.02%</w:t>
            </w:r>
          </w:p>
        </w:tc>
        <w:tc>
          <w:tcPr>
            <w:tcW w:w="1215" w:type="dxa"/>
          </w:tcPr>
          <w:p>
            <w:pPr>
              <w:adjustRightInd w:val="0"/>
              <w:snapToGrid w:val="0"/>
              <w:spacing w:line="360" w:lineRule="auto"/>
              <w:jc w:val="center"/>
              <w:rPr>
                <w:rFonts w:hint="eastAsia" w:ascii="宋体" w:hAnsi="宋体" w:cs="宋体"/>
                <w:bCs/>
              </w:rPr>
            </w:pPr>
            <w:r>
              <w:rPr>
                <w:rFonts w:hint="eastAsia" w:ascii="宋体" w:hAnsi="宋体" w:cs="宋体"/>
                <w:bCs/>
              </w:rPr>
              <w:t>0.021%</w:t>
            </w:r>
          </w:p>
        </w:tc>
        <w:tc>
          <w:tcPr>
            <w:tcW w:w="1215" w:type="dxa"/>
          </w:tcPr>
          <w:p>
            <w:pPr>
              <w:adjustRightInd w:val="0"/>
              <w:snapToGrid w:val="0"/>
              <w:spacing w:line="360" w:lineRule="auto"/>
              <w:jc w:val="center"/>
              <w:rPr>
                <w:rFonts w:hint="eastAsia" w:ascii="宋体" w:hAnsi="宋体" w:cs="宋体"/>
                <w:bCs/>
              </w:rPr>
            </w:pPr>
            <w:r>
              <w:rPr>
                <w:rFonts w:hint="eastAsia" w:ascii="宋体" w:hAnsi="宋体" w:cs="宋体"/>
                <w:bCs/>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425" w:type="dxa"/>
          </w:tcPr>
          <w:p>
            <w:pPr>
              <w:adjustRightInd w:val="0"/>
              <w:snapToGrid w:val="0"/>
              <w:spacing w:line="360" w:lineRule="auto"/>
              <w:jc w:val="center"/>
              <w:rPr>
                <w:rFonts w:hint="eastAsia" w:ascii="宋体" w:hAnsi="宋体" w:cs="宋体"/>
                <w:b/>
                <w:bCs/>
              </w:rPr>
            </w:pPr>
            <w:r>
              <w:rPr>
                <w:rFonts w:hint="eastAsia" w:ascii="宋体" w:hAnsi="宋体" w:cs="宋体"/>
                <w:b/>
                <w:bCs/>
              </w:rPr>
              <w:t>无罪案件</w:t>
            </w:r>
          </w:p>
          <w:p>
            <w:pPr>
              <w:adjustRightInd w:val="0"/>
              <w:snapToGrid w:val="0"/>
              <w:spacing w:line="360" w:lineRule="auto"/>
              <w:jc w:val="center"/>
              <w:rPr>
                <w:rFonts w:hint="eastAsia" w:ascii="宋体" w:hAnsi="宋体" w:cs="宋体"/>
                <w:b/>
                <w:bCs/>
              </w:rPr>
            </w:pPr>
            <w:r>
              <w:rPr>
                <w:rFonts w:hint="eastAsia" w:ascii="宋体" w:hAnsi="宋体" w:cs="宋体"/>
                <w:b/>
                <w:bCs/>
              </w:rPr>
              <w:t>件数</w:t>
            </w:r>
          </w:p>
        </w:tc>
        <w:tc>
          <w:tcPr>
            <w:tcW w:w="1227" w:type="dxa"/>
          </w:tcPr>
          <w:p>
            <w:pPr>
              <w:adjustRightInd w:val="0"/>
              <w:snapToGrid w:val="0"/>
              <w:spacing w:line="360" w:lineRule="auto"/>
              <w:jc w:val="center"/>
              <w:rPr>
                <w:rFonts w:hint="eastAsia" w:ascii="宋体" w:hAnsi="宋体" w:cs="宋体"/>
                <w:bCs/>
              </w:rPr>
            </w:pPr>
            <w:r>
              <w:rPr>
                <w:rFonts w:hint="eastAsia" w:ascii="宋体" w:hAnsi="宋体" w:cs="宋体"/>
                <w:bCs/>
              </w:rPr>
              <w:t>2</w:t>
            </w:r>
          </w:p>
        </w:tc>
        <w:tc>
          <w:tcPr>
            <w:tcW w:w="1189" w:type="dxa"/>
          </w:tcPr>
          <w:p>
            <w:pPr>
              <w:adjustRightInd w:val="0"/>
              <w:snapToGrid w:val="0"/>
              <w:spacing w:line="360" w:lineRule="auto"/>
              <w:jc w:val="center"/>
              <w:rPr>
                <w:rFonts w:hint="eastAsia" w:ascii="宋体" w:hAnsi="宋体" w:cs="宋体"/>
                <w:bCs/>
              </w:rPr>
            </w:pPr>
            <w:r>
              <w:rPr>
                <w:rFonts w:hint="eastAsia" w:ascii="宋体" w:hAnsi="宋体" w:cs="宋体"/>
                <w:bCs/>
              </w:rPr>
              <w:t>0</w:t>
            </w:r>
          </w:p>
        </w:tc>
        <w:tc>
          <w:tcPr>
            <w:tcW w:w="1095" w:type="dxa"/>
          </w:tcPr>
          <w:p>
            <w:pPr>
              <w:adjustRightInd w:val="0"/>
              <w:snapToGrid w:val="0"/>
              <w:spacing w:line="360" w:lineRule="auto"/>
              <w:jc w:val="center"/>
              <w:rPr>
                <w:rFonts w:hint="eastAsia" w:ascii="宋体" w:hAnsi="宋体" w:cs="宋体"/>
                <w:bCs/>
              </w:rPr>
            </w:pPr>
            <w:r>
              <w:rPr>
                <w:rFonts w:hint="eastAsia" w:ascii="宋体" w:hAnsi="宋体" w:cs="宋体"/>
                <w:bCs/>
              </w:rPr>
              <w:t>0</w:t>
            </w:r>
          </w:p>
        </w:tc>
        <w:tc>
          <w:tcPr>
            <w:tcW w:w="1152" w:type="dxa"/>
          </w:tcPr>
          <w:p>
            <w:pPr>
              <w:adjustRightInd w:val="0"/>
              <w:snapToGrid w:val="0"/>
              <w:spacing w:line="360" w:lineRule="auto"/>
              <w:jc w:val="center"/>
              <w:rPr>
                <w:rFonts w:hint="eastAsia" w:ascii="宋体" w:hAnsi="宋体" w:cs="宋体"/>
                <w:bCs/>
              </w:rPr>
            </w:pPr>
            <w:r>
              <w:rPr>
                <w:rFonts w:hint="eastAsia" w:ascii="宋体" w:hAnsi="宋体" w:cs="宋体"/>
                <w:bCs/>
              </w:rPr>
              <w:t>0</w:t>
            </w:r>
          </w:p>
        </w:tc>
        <w:tc>
          <w:tcPr>
            <w:tcW w:w="1215" w:type="dxa"/>
          </w:tcPr>
          <w:p>
            <w:pPr>
              <w:adjustRightInd w:val="0"/>
              <w:snapToGrid w:val="0"/>
              <w:spacing w:line="360" w:lineRule="auto"/>
              <w:jc w:val="center"/>
              <w:rPr>
                <w:rFonts w:hint="eastAsia" w:ascii="宋体" w:hAnsi="宋体" w:cs="宋体"/>
                <w:bCs/>
              </w:rPr>
            </w:pPr>
            <w:r>
              <w:rPr>
                <w:rFonts w:hint="eastAsia" w:ascii="宋体" w:hAnsi="宋体" w:cs="宋体"/>
                <w:bCs/>
              </w:rPr>
              <w:t>0</w:t>
            </w:r>
          </w:p>
        </w:tc>
        <w:tc>
          <w:tcPr>
            <w:tcW w:w="1215" w:type="dxa"/>
          </w:tcPr>
          <w:p>
            <w:pPr>
              <w:adjustRightInd w:val="0"/>
              <w:snapToGrid w:val="0"/>
              <w:spacing w:line="360" w:lineRule="auto"/>
              <w:jc w:val="center"/>
              <w:rPr>
                <w:rFonts w:hint="eastAsia" w:ascii="宋体" w:hAnsi="宋体" w:cs="宋体"/>
                <w:bCs/>
              </w:rPr>
            </w:pPr>
            <w:r>
              <w:rPr>
                <w:rFonts w:hint="eastAsia" w:ascii="宋体" w:hAnsi="宋体" w:cs="宋体"/>
                <w:bCs/>
              </w:rPr>
              <w:t>0</w:t>
            </w:r>
          </w:p>
        </w:tc>
      </w:tr>
    </w:tbl>
    <w:p>
      <w:pPr>
        <w:adjustRightInd w:val="0"/>
        <w:snapToGrid w:val="0"/>
        <w:spacing w:line="360" w:lineRule="auto"/>
        <w:rPr>
          <w:rFonts w:hint="eastAsia" w:ascii="宋体" w:hAnsi="宋体" w:cs="宋体"/>
          <w:b/>
          <w:bCs/>
          <w:sz w:val="15"/>
          <w:szCs w:val="15"/>
        </w:rPr>
      </w:pPr>
      <w:r>
        <w:rPr>
          <w:rFonts w:hint="eastAsia" w:ascii="宋体" w:hAnsi="宋体" w:cs="宋体"/>
          <w:b/>
          <w:bCs/>
          <w:sz w:val="15"/>
          <w:szCs w:val="15"/>
        </w:rPr>
        <w:t>注：1.上表数据均为从统计报表数据得出。</w:t>
      </w:r>
    </w:p>
    <w:p>
      <w:pPr>
        <w:adjustRightInd w:val="0"/>
        <w:snapToGrid w:val="0"/>
        <w:spacing w:line="360" w:lineRule="auto"/>
        <w:rPr>
          <w:rFonts w:hint="eastAsia" w:ascii="宋体" w:hAnsi="宋体" w:cs="宋体"/>
          <w:b/>
          <w:bCs/>
          <w:sz w:val="15"/>
          <w:szCs w:val="15"/>
        </w:rPr>
      </w:pPr>
      <w:r>
        <w:rPr>
          <w:rFonts w:hint="eastAsia" w:ascii="宋体" w:hAnsi="宋体" w:cs="宋体"/>
          <w:b/>
          <w:bCs/>
          <w:sz w:val="15"/>
          <w:szCs w:val="15"/>
        </w:rPr>
        <w:t>2.“捕后存疑不起诉率”、“公诉案件撤诉率”计算时已剔除因证据、法律、司法解释发生变化而撤回起诉或存疑不起诉情形。</w:t>
      </w:r>
    </w:p>
    <w:p>
      <w:pPr>
        <w:adjustRightInd w:val="0"/>
        <w:snapToGrid w:val="0"/>
        <w:spacing w:line="360" w:lineRule="auto"/>
        <w:ind w:firstLine="562" w:firstLineChars="200"/>
        <w:rPr>
          <w:rFonts w:hint="eastAsia" w:ascii="宋体" w:hAnsi="宋体" w:cs="宋体"/>
          <w:b/>
          <w:sz w:val="28"/>
          <w:szCs w:val="28"/>
        </w:rPr>
      </w:pPr>
      <w:r>
        <w:rPr>
          <w:rFonts w:hint="eastAsia" w:ascii="宋体" w:hAnsi="宋体" w:cs="宋体"/>
          <w:b/>
          <w:sz w:val="28"/>
          <w:szCs w:val="28"/>
        </w:rPr>
        <w:t>（二）运行情况对理论界关于“捕诉一体”机制诟病之处的回应</w:t>
      </w:r>
    </w:p>
    <w:p>
      <w:pPr>
        <w:tabs>
          <w:tab w:val="left" w:pos="6105"/>
        </w:tabs>
        <w:adjustRightInd w:val="0"/>
        <w:snapToGrid w:val="0"/>
        <w:spacing w:line="360" w:lineRule="auto"/>
        <w:ind w:firstLine="420" w:firstLineChars="200"/>
        <w:rPr>
          <w:rFonts w:hint="eastAsia" w:ascii="宋体" w:hAnsi="宋体" w:cs="宋体"/>
        </w:rPr>
      </w:pPr>
      <w:r>
        <w:rPr>
          <w:rFonts w:hint="eastAsia" w:ascii="宋体" w:hAnsi="宋体" w:cs="宋体"/>
        </w:rPr>
        <w:t>上表用客观、真实的数据，充分论证了以下问题：</w:t>
      </w:r>
    </w:p>
    <w:p>
      <w:pPr>
        <w:tabs>
          <w:tab w:val="left" w:pos="6105"/>
        </w:tabs>
        <w:adjustRightInd w:val="0"/>
        <w:snapToGrid w:val="0"/>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1.“捕诉一体”并不当然导致案件质量下降</w:t>
      </w:r>
    </w:p>
    <w:p>
      <w:pPr>
        <w:tabs>
          <w:tab w:val="left" w:pos="6105"/>
        </w:tabs>
        <w:adjustRightInd w:val="0"/>
        <w:snapToGrid w:val="0"/>
        <w:spacing w:line="360" w:lineRule="auto"/>
        <w:ind w:firstLine="420" w:firstLineChars="200"/>
        <w:rPr>
          <w:rFonts w:hint="eastAsia" w:ascii="宋体" w:hAnsi="宋体" w:cs="宋体"/>
        </w:rPr>
      </w:pPr>
      <w:r>
        <w:rPr>
          <w:rFonts w:hint="eastAsia" w:ascii="宋体" w:hAnsi="宋体" w:cs="宋体"/>
        </w:rPr>
        <w:t>从公诉案件的撤诉率和无罪案件数来看，改革期间这两项数据较改革前有了明显的下降，甚至在恢复“捕诉分离”后，这两项数据又分别有了不同程度的提高。这说明“捕诉一体”办案机制不仅不会导致案件质量的下降，反而会提高案件质量。</w:t>
      </w:r>
    </w:p>
    <w:p>
      <w:pPr>
        <w:tabs>
          <w:tab w:val="left" w:pos="6105"/>
        </w:tabs>
        <w:adjustRightInd w:val="0"/>
        <w:snapToGrid w:val="0"/>
        <w:spacing w:line="360" w:lineRule="auto"/>
        <w:ind w:firstLine="420" w:firstLineChars="200"/>
        <w:rPr>
          <w:rFonts w:hint="eastAsia" w:ascii="宋体" w:hAnsi="宋体" w:cs="宋体"/>
        </w:rPr>
      </w:pPr>
      <w:r>
        <w:rPr>
          <w:rFonts w:hint="eastAsia" w:ascii="宋体" w:hAnsi="宋体" w:cs="宋体"/>
        </w:rPr>
        <w:t>究其原因，顺德区检察院试行的“捕诉一体”并非的孤立的、简单粗暴的合二为一，而是与员额检察官司法责任制进行了有机结合。案件质量终身制无疑成为了悬在检察官头上的达摩克利斯之剑，它意味着检察官统一行使批捕权、起诉权受到了“案件质量”这一核心要素的充分制约。检察官在行使批捕权时，无疑是慎重的，否则，一旦审查逮捕时因过失而导致批捕不当，在案件移送审查起诉后，面临较大的起诉风险，检察官“将错就错”、“带病起诉”的可能性基本为零。毕竟起诉后，案件移送法院审理，对案件的掌握权将不再保留在检察官手中，一旦出现无罪判决或者因证据不足而导致撤诉，检察官将面临追责。</w:t>
      </w:r>
    </w:p>
    <w:p>
      <w:pPr>
        <w:tabs>
          <w:tab w:val="left" w:pos="6105"/>
        </w:tabs>
        <w:adjustRightInd w:val="0"/>
        <w:snapToGrid w:val="0"/>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2.“捕诉一体”并不当然导致起诉标准代替批捕标准</w:t>
      </w:r>
    </w:p>
    <w:p>
      <w:pPr>
        <w:tabs>
          <w:tab w:val="left" w:pos="6105"/>
        </w:tabs>
        <w:adjustRightInd w:val="0"/>
        <w:snapToGrid w:val="0"/>
        <w:spacing w:line="360" w:lineRule="auto"/>
        <w:ind w:firstLine="420" w:firstLineChars="200"/>
        <w:rPr>
          <w:rFonts w:hint="eastAsia" w:ascii="宋体" w:hAnsi="宋体" w:cs="宋体"/>
        </w:rPr>
      </w:pPr>
      <w:r>
        <w:rPr>
          <w:rFonts w:hint="eastAsia" w:ascii="宋体" w:hAnsi="宋体" w:cs="宋体"/>
        </w:rPr>
        <w:t>从不捕率及复议、复核率来看， 改革前、改革中及改革后，这两项数据均未出现明显的变化。这说明“捕诉一体”后，检察官在进行审查逮捕活动时，并未以批准标准代替起诉标准，即，并未采取更为严苛的证据认定标准去办理批捕案件，因为不捕率并未显著上升，侦查机关因此而提出复议、复核的情况也并未明显增多。</w:t>
      </w:r>
    </w:p>
    <w:p>
      <w:pPr>
        <w:tabs>
          <w:tab w:val="left" w:pos="6105"/>
        </w:tabs>
        <w:adjustRightInd w:val="0"/>
        <w:snapToGrid w:val="0"/>
        <w:spacing w:line="360" w:lineRule="auto"/>
        <w:ind w:firstLine="420" w:firstLineChars="200"/>
        <w:rPr>
          <w:rFonts w:hint="eastAsia" w:ascii="宋体" w:hAnsi="宋体" w:cs="宋体"/>
        </w:rPr>
      </w:pPr>
      <w:r>
        <w:rPr>
          <w:rFonts w:hint="eastAsia" w:ascii="宋体" w:hAnsi="宋体" w:cs="宋体"/>
        </w:rPr>
        <w:t>那么，检察官是如何在保证案件质量与不提高批捕标准之间达到平衡呢？这要归功于三大利器：</w:t>
      </w:r>
    </w:p>
    <w:p>
      <w:pPr>
        <w:tabs>
          <w:tab w:val="left" w:pos="6105"/>
        </w:tabs>
        <w:adjustRightInd w:val="0"/>
        <w:snapToGrid w:val="0"/>
        <w:spacing w:line="360" w:lineRule="auto"/>
        <w:ind w:firstLine="420" w:firstLineChars="200"/>
        <w:rPr>
          <w:rFonts w:hint="eastAsia" w:ascii="宋体" w:hAnsi="宋体" w:cs="宋体"/>
        </w:rPr>
      </w:pPr>
      <w:r>
        <w:rPr>
          <w:rFonts w:hint="eastAsia" w:ascii="宋体" w:hAnsi="宋体" w:cs="宋体"/>
        </w:rPr>
        <w:t>利器一——充分提前介入。对于重大、疑难复杂案件，要求公安机关必须提前一周要求检察院派员提前介入。通过提前听取侦查员介绍案情，提前阅卷，有效针对案件取证薄弱的环节进行指导，拓宽侦查思路，明晰侦查方向，从而完善证据体系，夯实证据细节，从而保证批捕案件质量。</w:t>
      </w:r>
    </w:p>
    <w:p>
      <w:pPr>
        <w:tabs>
          <w:tab w:val="left" w:pos="6105"/>
        </w:tabs>
        <w:adjustRightInd w:val="0"/>
        <w:snapToGrid w:val="0"/>
        <w:spacing w:line="360" w:lineRule="auto"/>
        <w:ind w:firstLine="420" w:firstLineChars="200"/>
        <w:rPr>
          <w:rFonts w:hint="eastAsia" w:ascii="宋体" w:hAnsi="宋体" w:cs="宋体"/>
        </w:rPr>
      </w:pPr>
      <w:r>
        <w:rPr>
          <w:rFonts w:hint="eastAsia" w:ascii="宋体" w:hAnsi="宋体" w:cs="宋体"/>
        </w:rPr>
        <w:t>利器二——适时介入侦查。在审查逮捕案件的过程中，检察官一旦发现案件存在瑕疵，部分有力证据待核实。出于后期能够成功起诉，以及滥用不捕可能被提出复议、复核的双重考虑，检察官会主动联系侦查员，针对有疑问的地方要求侦查员及时补充、核实证据。因侦查机关是以逮捕率进行绩效考核，在此阶段检察官提出的补证要求，侦查员可谓是全力以赴，与公诉案件的退查质量不可同日而语。当然，证据的及时性、易灭失性也决定了此时证据更容易补充、固定。</w:t>
      </w:r>
    </w:p>
    <w:p>
      <w:pPr>
        <w:tabs>
          <w:tab w:val="left" w:pos="6105"/>
        </w:tabs>
        <w:adjustRightInd w:val="0"/>
        <w:snapToGrid w:val="0"/>
        <w:spacing w:line="360" w:lineRule="auto"/>
        <w:ind w:firstLine="420" w:firstLineChars="200"/>
        <w:rPr>
          <w:rFonts w:hint="eastAsia" w:ascii="宋体" w:hAnsi="宋体" w:cs="宋体"/>
        </w:rPr>
      </w:pPr>
      <w:r>
        <w:rPr>
          <w:rFonts w:hint="eastAsia" w:ascii="宋体" w:hAnsi="宋体" w:cs="宋体"/>
        </w:rPr>
        <w:t>利器三——捕后侦查提纲。毕竟自己生的娃自己养，自己捕的案件自己诉，检察官在批捕的同时必然会考虑案件后续的起诉问题，对于一些不影响定罪但明显影响量刑或者属于起诉阶段必须核实清楚的问题，检察官会通过发出《逮捕案件继续侦查取证意见书》的方式，指引侦查机关继续取证，从而为成功起诉打下坚实的证据基础。</w:t>
      </w:r>
    </w:p>
    <w:p>
      <w:pPr>
        <w:tabs>
          <w:tab w:val="left" w:pos="6105"/>
        </w:tabs>
        <w:adjustRightInd w:val="0"/>
        <w:snapToGrid w:val="0"/>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3.“捕诉一体”并不当然导致弱化检察机关内部监督</w:t>
      </w:r>
    </w:p>
    <w:p>
      <w:pPr>
        <w:tabs>
          <w:tab w:val="left" w:pos="6105"/>
        </w:tabs>
        <w:adjustRightInd w:val="0"/>
        <w:snapToGrid w:val="0"/>
        <w:spacing w:line="360" w:lineRule="auto"/>
        <w:ind w:firstLine="420" w:firstLineChars="200"/>
        <w:rPr>
          <w:rFonts w:hint="eastAsia" w:ascii="宋体" w:hAnsi="宋体" w:cs="宋体"/>
        </w:rPr>
      </w:pPr>
      <w:r>
        <w:rPr>
          <w:rFonts w:hint="eastAsia" w:ascii="宋体" w:hAnsi="宋体" w:cs="宋体"/>
        </w:rPr>
        <w:t>顺德区检察院运行“捕诉一体”期间，并未出现办“人情案”或其他徇私枉法、滥用批捕、起诉权的情况。</w:t>
      </w:r>
    </w:p>
    <w:p>
      <w:pPr>
        <w:tabs>
          <w:tab w:val="left" w:pos="6105"/>
        </w:tabs>
        <w:adjustRightInd w:val="0"/>
        <w:snapToGrid w:val="0"/>
        <w:spacing w:line="360" w:lineRule="auto"/>
        <w:ind w:firstLine="420" w:firstLineChars="200"/>
        <w:rPr>
          <w:rFonts w:hint="eastAsia" w:ascii="宋体" w:hAnsi="宋体" w:cs="宋体"/>
        </w:rPr>
      </w:pPr>
      <w:r>
        <w:rPr>
          <w:rFonts w:hint="eastAsia" w:ascii="宋体" w:hAnsi="宋体" w:cs="宋体"/>
        </w:rPr>
        <w:t>首先，如前所述，案件质量终身制这把达摩克利斯之剑始终悬在检察官头上，检察官必将自我审视，自我监督；其次，检察官办案组存在有效的内部监督。检察官办案组的基础配置是一名书记员，一名检察官助理，一名检察官。运行方式是检察官助理负责证据的摘录以及初步意见的提出，检察官在保证亲历性的前提下对案件作出实质判断——捕与不捕，诉与不诉。检察官助理草拟好法律文书后，通过统一业务软件发给检察官，检察官在该文书的基础上进行修改、完善并作出处理决定，每一步在系统内均会留下痕迹。因此，检察官不可能冒着随时被查的风险，擅自更改或者删除关键证据；第三，检察机关内部设有纪检监察组，仍然可以充分进行内部监督。</w:t>
      </w:r>
    </w:p>
    <w:p>
      <w:pPr>
        <w:tabs>
          <w:tab w:val="left" w:pos="6105"/>
        </w:tabs>
        <w:adjustRightInd w:val="0"/>
        <w:snapToGrid w:val="0"/>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4.“捕诉一体”并不当然导致批捕权不独立、不中立</w:t>
      </w:r>
    </w:p>
    <w:p>
      <w:pPr>
        <w:tabs>
          <w:tab w:val="left" w:pos="6105"/>
        </w:tabs>
        <w:adjustRightInd w:val="0"/>
        <w:snapToGrid w:val="0"/>
        <w:spacing w:line="360" w:lineRule="auto"/>
        <w:ind w:firstLine="420" w:firstLineChars="200"/>
        <w:rPr>
          <w:rFonts w:hint="eastAsia" w:ascii="宋体" w:hAnsi="宋体" w:cs="宋体"/>
        </w:rPr>
      </w:pPr>
      <w:r>
        <w:rPr>
          <w:rFonts w:hint="eastAsia" w:ascii="宋体" w:hAnsi="宋体" w:cs="宋体"/>
        </w:rPr>
        <w:t>关于批捕权与起诉权由同一机关行使，导致批捕权不独立、不中立的问题，人民检察院依照法律规定独立行使检察权，不受行政机关、社会团体和个人的干涉，这已经满足了国际司法准则对批捕权独立性的要求；而检察机关是代表国家行使公诉权，并非当事人，必须坚持客观公正原则，这也满足了批捕权中立性的要求。</w:t>
      </w:r>
    </w:p>
    <w:p>
      <w:pPr>
        <w:tabs>
          <w:tab w:val="left" w:pos="6105"/>
        </w:tabs>
        <w:adjustRightInd w:val="0"/>
        <w:snapToGrid w:val="0"/>
        <w:spacing w:line="360" w:lineRule="auto"/>
        <w:ind w:firstLine="420" w:firstLineChars="200"/>
        <w:rPr>
          <w:rFonts w:hint="eastAsia" w:ascii="宋体" w:hAnsi="宋体" w:cs="宋体"/>
        </w:rPr>
      </w:pPr>
      <w:r>
        <w:rPr>
          <w:rFonts w:hint="eastAsia" w:ascii="宋体" w:hAnsi="宋体" w:cs="宋体"/>
        </w:rPr>
        <w:t>当然，捕诉一体机制运行以来并非一帆风顺，遭遇的最大问题并在不于案件质量或者内部监督，反而是承办检察官的抗压能力。如前述，顺德区检察院的“捕诉一体”是结合了司法责任制，直接体现于对检察官的业务绩效考核。捕后无罪、捕后存疑或绝对不起诉，除事实、证据、发生重大变化等例外情形，检察官在绩效考核时要扣除相应分值；检察官建议存疑不捕，但集体讨论或检察长作出逮捕决定的，按规定，该案在审查起诉阶段会更换承办人，以避免原检察官消极审查，新的检察官成功起诉的，给予加分奖励，原检察官相应进行扣分。年终绩效与奖惩机制挂钩，上述两项规定如同给检察官加上了紧箍咒，审查时太松不行，太紧也不行，只能踏踏实实在七天的审查起诉期限内钻研案件，联系侦查机关补充、完善证据链条，为成功起诉打下扎实的基础。</w:t>
      </w:r>
    </w:p>
    <w:p>
      <w:pPr>
        <w:tabs>
          <w:tab w:val="left" w:pos="6105"/>
        </w:tabs>
        <w:adjustRightInd w:val="0"/>
        <w:snapToGrid w:val="0"/>
        <w:spacing w:line="360" w:lineRule="auto"/>
        <w:ind w:firstLine="420" w:firstLineChars="200"/>
        <w:rPr>
          <w:rFonts w:hint="eastAsia" w:ascii="宋体" w:hAnsi="宋体" w:cs="宋体"/>
        </w:rPr>
      </w:pPr>
      <w:r>
        <w:rPr>
          <w:rFonts w:hint="eastAsia" w:ascii="宋体" w:hAnsi="宋体" w:cs="宋体"/>
        </w:rPr>
        <w:t>这样下来，不少检察官表示，承办的案件量虽然下去了，但办的事、操的心呈几何倍数增长，检察官肩上的任务和责任更重了。</w:t>
      </w:r>
    </w:p>
    <w:p>
      <w:pPr>
        <w:tabs>
          <w:tab w:val="left" w:pos="6105"/>
        </w:tabs>
        <w:adjustRightInd w:val="0"/>
        <w:snapToGrid w:val="0"/>
        <w:spacing w:line="360" w:lineRule="auto"/>
        <w:ind w:firstLine="562" w:firstLineChars="200"/>
        <w:rPr>
          <w:rFonts w:hint="eastAsia" w:ascii="宋体" w:hAnsi="宋体" w:cs="宋体"/>
          <w:b/>
          <w:sz w:val="28"/>
          <w:szCs w:val="28"/>
        </w:rPr>
      </w:pPr>
      <w:r>
        <w:rPr>
          <w:rFonts w:hint="eastAsia" w:ascii="宋体" w:hAnsi="宋体" w:cs="宋体"/>
          <w:b/>
          <w:sz w:val="28"/>
          <w:szCs w:val="28"/>
        </w:rPr>
        <w:t>（三）“捕诉一体”相对“捕诉分离”的优越性</w:t>
      </w:r>
    </w:p>
    <w:p>
      <w:pPr>
        <w:tabs>
          <w:tab w:val="left" w:pos="6105"/>
        </w:tabs>
        <w:adjustRightInd w:val="0"/>
        <w:snapToGrid w:val="0"/>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1.提高办案效率、缩短办案周期</w:t>
      </w:r>
    </w:p>
    <w:p>
      <w:pPr>
        <w:tabs>
          <w:tab w:val="left" w:pos="6105"/>
        </w:tabs>
        <w:adjustRightInd w:val="0"/>
        <w:snapToGrid w:val="0"/>
        <w:spacing w:line="360" w:lineRule="auto"/>
        <w:ind w:firstLine="420" w:firstLineChars="200"/>
        <w:rPr>
          <w:rFonts w:hint="eastAsia" w:ascii="宋体" w:hAnsi="宋体" w:cs="宋体"/>
        </w:rPr>
      </w:pPr>
      <w:r>
        <w:rPr>
          <w:rFonts w:hint="eastAsia" w:ascii="宋体" w:hAnsi="宋体" w:cs="宋体"/>
        </w:rPr>
        <w:t>同一案件，由同一人进行批捕、起诉工作，避免了重复劳作。该案移送审查起诉时，检察官所需承担的工作相较于捕诉分离机制下的起诉案件，无疑是大大减少。在批捕阶段已经对案件的事实及证据进行了全面的把握，又通过直接联系侦查员或者发出《逮捕案件继续侦查取证意见书》的方式进一步取证，大部分的案件在移送起诉时，基本已经达到了“起诉标准”，经过提审后，无需延长审查起诉期限或者两次退查即可以起诉至法院。上表的数据可见，较改革前、后，改革期间案件的一退率和二退率明显降低。可见，“捕诉一体”办案机制极大的提高了办案效率，也缩短了案件的办理周期，促进了对犯罪嫌疑人权益的保护。</w:t>
      </w:r>
    </w:p>
    <w:p>
      <w:pPr>
        <w:tabs>
          <w:tab w:val="left" w:pos="6105"/>
        </w:tabs>
        <w:adjustRightInd w:val="0"/>
        <w:snapToGrid w:val="0"/>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2.提升检察官业务素质、促进队伍专业化建设</w:t>
      </w:r>
    </w:p>
    <w:p>
      <w:pPr>
        <w:tabs>
          <w:tab w:val="left" w:pos="6105"/>
        </w:tabs>
        <w:adjustRightInd w:val="0"/>
        <w:snapToGrid w:val="0"/>
        <w:spacing w:line="360" w:lineRule="auto"/>
        <w:ind w:firstLine="420" w:firstLineChars="200"/>
        <w:rPr>
          <w:rFonts w:hint="eastAsia" w:ascii="宋体" w:hAnsi="宋体" w:cs="宋体"/>
        </w:rPr>
      </w:pPr>
      <w:r>
        <w:rPr>
          <w:rFonts w:hint="eastAsia" w:ascii="宋体" w:hAnsi="宋体" w:cs="宋体"/>
        </w:rPr>
        <w:t>“捕诉一体”办案机制与检察官司法责任制有机结合，形成倒逼机制，促使检察官加强责任感，提高办案能力，提升业务水平。在审查逮捕短短的七日内，检察官要保证案件的大方向不出错，对于确有疑问或者证据确有瑕疵的案件，需要在有限的时间及时讯问犯罪嫌疑人，针对其辩解联系侦查员进行核实或补充证据。检察官的业务能力面临前所未有的高要求、严标准：时间短，任务重，不可能再“一捕了事”，毕竟自己挖的坑还要自己填，诉不出去要担责，强行起诉判不下来责任更重。在这种双重压力的磨砺下，对检察官而言，唯一出路是强化责任心，提升业务水平；对检察机关而言，则有利于提升队伍专业化实力，从而打造一支王牌精锐之师。</w:t>
      </w:r>
    </w:p>
    <w:p>
      <w:pPr>
        <w:tabs>
          <w:tab w:val="left" w:pos="6105"/>
        </w:tabs>
        <w:adjustRightInd w:val="0"/>
        <w:snapToGrid w:val="0"/>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3.优化司法资源配置，缓解案多人少的矛盾</w:t>
      </w:r>
    </w:p>
    <w:p>
      <w:pPr>
        <w:tabs>
          <w:tab w:val="left" w:pos="6105"/>
        </w:tabs>
        <w:adjustRightInd w:val="0"/>
        <w:snapToGrid w:val="0"/>
        <w:spacing w:line="360" w:lineRule="auto"/>
        <w:ind w:firstLine="420" w:firstLineChars="200"/>
        <w:rPr>
          <w:rFonts w:hint="eastAsia" w:ascii="宋体" w:hAnsi="宋体" w:cs="宋体"/>
        </w:rPr>
      </w:pPr>
      <w:r>
        <w:rPr>
          <w:rFonts w:hint="eastAsia" w:ascii="宋体" w:hAnsi="宋体" w:cs="宋体"/>
        </w:rPr>
        <w:t>案多人少是基层检察院普遍存在的困难之一。随着社会日新月异的发展，犯罪活动呈现出逐年递增的趋势，且新型犯罪、公安机关的各项专案活动也层出不穷，但检察机关的编制却十分有限，办案人手明显不足。如何缓解案多人少的矛盾，是亟待解决的问题。“捕诉一体”办案机制，不仅仅是将批捕权和起诉权合二为一，更直接的是将侦查监督科与公诉科在人员和机构上进行了合并，对现有的司法资源就行了优化配置，办案人手变相得到了较大的扩充。在案件总量这个分子基本不变的前提下，分母扩大，人均办案数则自然降低，大大缓解了我国基层检察院案多人少的共性矛盾。每个检察官分到手的案件少了，才有可能在短短七日的审查批捕期限内，花费更多的时间与精力去办好分到的每一宗案件。</w:t>
      </w:r>
    </w:p>
    <w:p>
      <w:pPr>
        <w:tabs>
          <w:tab w:val="left" w:pos="6105"/>
        </w:tabs>
        <w:adjustRightInd w:val="0"/>
        <w:snapToGrid w:val="0"/>
        <w:spacing w:line="360" w:lineRule="auto"/>
        <w:ind w:firstLine="560" w:firstLineChars="200"/>
        <w:rPr>
          <w:rFonts w:hint="eastAsia" w:ascii="楷体" w:hAnsi="楷体" w:eastAsia="楷体" w:cs="楷体"/>
          <w:sz w:val="28"/>
          <w:szCs w:val="28"/>
        </w:rPr>
      </w:pPr>
      <w:r>
        <w:rPr>
          <w:rFonts w:hint="eastAsia" w:ascii="楷体" w:hAnsi="楷体" w:eastAsia="楷体" w:cs="楷体"/>
          <w:sz w:val="28"/>
          <w:szCs w:val="28"/>
        </w:rPr>
        <w:t>4.强化检察引导侦查，构建和谐检警关系</w:t>
      </w:r>
    </w:p>
    <w:p>
      <w:pPr>
        <w:tabs>
          <w:tab w:val="left" w:pos="6105"/>
        </w:tabs>
        <w:adjustRightInd w:val="0"/>
        <w:snapToGrid w:val="0"/>
        <w:spacing w:line="360" w:lineRule="auto"/>
        <w:ind w:firstLine="420" w:firstLineChars="200"/>
        <w:rPr>
          <w:rFonts w:hint="eastAsia" w:ascii="宋体" w:hAnsi="宋体" w:cs="宋体"/>
        </w:rPr>
      </w:pPr>
      <w:r>
        <w:rPr>
          <w:rFonts w:hint="eastAsia" w:ascii="宋体" w:hAnsi="宋体" w:cs="宋体"/>
        </w:rPr>
        <w:t>“捕诉分离”时期，公诉人谈到退查补证都是一把“辛酸泪”，侦查机关通常都是以逮捕率甚至逮捕数作为业绩考核指标，案件批捕后，对于公诉人退查要求补充的证据，侦查机关的积极性较低，所补证据质量较差，甚至一退补不到，二退仍然是出具情况说明敷衍了事。当然，退查时因距离案发时间过久，证据已然灭失而无法补充的情况也客观存在。但“捕诉一体”后，检察官在“自捕自诉”及“司法责任制”的双重压力下，必然严把案件质量关，在侦查阶段就会主动联系侦查员补充、复核证据，此时，侦查员极为配合，补证效率快、质量高，引导侦查不再是大案、要案才有的“待遇”，而是“遍地开花”式展开。侦查机关对于这样的引导侦查是喜闻乐见的，毕竟案件在检察官的指引下取证下成功批捕了，后续的审查起诉阶段基本上不再有其他工作；而且捕诉的承办人同一，意味着对案件证据、定性标准把控同一，无需再担心更换承办人而导致标准不同的问题。检察官角色前置，及时介入引导侦查，加强沟通协调，检警取得双赢，更有利于构成和谐的检警关系。</w:t>
      </w:r>
    </w:p>
    <w:p>
      <w:pPr>
        <w:adjustRightInd w:val="0"/>
        <w:snapToGrid w:val="0"/>
        <w:spacing w:line="360" w:lineRule="auto"/>
        <w:ind w:firstLine="560" w:firstLineChars="200"/>
        <w:rPr>
          <w:rFonts w:hint="eastAsia" w:ascii="黑体" w:hAnsi="黑体" w:eastAsia="黑体" w:cs="黑体"/>
          <w:sz w:val="28"/>
          <w:szCs w:val="28"/>
        </w:rPr>
      </w:pPr>
      <w:r>
        <w:rPr>
          <w:rFonts w:hint="eastAsia" w:ascii="黑体" w:hAnsi="黑体" w:eastAsia="黑体" w:cs="黑体"/>
          <w:sz w:val="28"/>
          <w:szCs w:val="28"/>
        </w:rPr>
        <w:t>四、“捕诉一体”机制全面推行的建议</w:t>
      </w:r>
    </w:p>
    <w:p>
      <w:pPr>
        <w:tabs>
          <w:tab w:val="left" w:pos="6105"/>
        </w:tabs>
        <w:adjustRightInd w:val="0"/>
        <w:snapToGrid w:val="0"/>
        <w:spacing w:line="360" w:lineRule="auto"/>
        <w:ind w:firstLine="420" w:firstLineChars="200"/>
        <w:rPr>
          <w:rFonts w:hint="eastAsia" w:ascii="宋体" w:hAnsi="宋体" w:cs="宋体"/>
        </w:rPr>
      </w:pPr>
      <w:r>
        <w:rPr>
          <w:rFonts w:hint="eastAsia" w:ascii="宋体" w:hAnsi="宋体" w:cs="宋体"/>
        </w:rPr>
        <w:t>随着检察机关内设机构改革的统一步伐，“捕诉一体”工作机制已经在全国范围内逐一推行。在新形势新业务的要求下，“捕诉一体”仍要注意以下问题的研究及解决。</w:t>
      </w:r>
    </w:p>
    <w:p>
      <w:pPr>
        <w:tabs>
          <w:tab w:val="left" w:pos="6105"/>
        </w:tabs>
        <w:adjustRightInd w:val="0"/>
        <w:snapToGrid w:val="0"/>
        <w:spacing w:line="360" w:lineRule="auto"/>
        <w:ind w:firstLine="562" w:firstLineChars="200"/>
        <w:rPr>
          <w:rFonts w:hint="eastAsia" w:ascii="宋体" w:hAnsi="宋体" w:cs="宋体"/>
          <w:b/>
          <w:sz w:val="28"/>
          <w:szCs w:val="28"/>
        </w:rPr>
      </w:pPr>
      <w:r>
        <w:rPr>
          <w:rFonts w:hint="eastAsia" w:ascii="宋体" w:hAnsi="宋体" w:cs="宋体"/>
          <w:b/>
          <w:sz w:val="28"/>
          <w:szCs w:val="28"/>
        </w:rPr>
        <w:t>（一）逮捕标准与司法责任制考核需要合理设置</w:t>
      </w:r>
    </w:p>
    <w:p>
      <w:pPr>
        <w:tabs>
          <w:tab w:val="left" w:pos="6105"/>
        </w:tabs>
        <w:adjustRightInd w:val="0"/>
        <w:snapToGrid w:val="0"/>
        <w:spacing w:line="360" w:lineRule="auto"/>
        <w:ind w:firstLine="420" w:firstLineChars="200"/>
        <w:rPr>
          <w:rFonts w:hint="eastAsia" w:ascii="宋体" w:hAnsi="宋体" w:cs="宋体"/>
        </w:rPr>
      </w:pPr>
      <w:r>
        <w:rPr>
          <w:rFonts w:hint="eastAsia" w:ascii="宋体" w:hAnsi="宋体" w:cs="宋体"/>
        </w:rPr>
        <w:t>逮捕标准与公诉标准在法定的证明标准上是不一致的，根据我国刑事诉讼法，逮捕的标准是“有证据证明有犯罪事实，可能判处徒刑以上刑罚的犯罪嫌疑人、被告人，采取取保候审尚不足以防止发生社会危险性”，起诉标准则在于“证据确实、充分……综合全案证据，对所认定事实已排除合理怀疑”。很明显，公诉条件应当是高于逮捕条件的，某些案件，可能已经达到了逮捕标准，但到审查起诉阶段，却未必能达到起诉标准，捕在当时是正确的，但诉不出去的时候，还能说捕得正确吗？</w:t>
      </w:r>
    </w:p>
    <w:p>
      <w:pPr>
        <w:tabs>
          <w:tab w:val="left" w:pos="6105"/>
        </w:tabs>
        <w:adjustRightInd w:val="0"/>
        <w:snapToGrid w:val="0"/>
        <w:spacing w:line="360" w:lineRule="auto"/>
        <w:ind w:firstLine="420" w:firstLineChars="200"/>
        <w:rPr>
          <w:rFonts w:hint="eastAsia" w:ascii="宋体" w:hAnsi="宋体" w:cs="宋体"/>
        </w:rPr>
      </w:pPr>
      <w:r>
        <w:rPr>
          <w:rFonts w:hint="eastAsia" w:ascii="宋体" w:hAnsi="宋体" w:cs="宋体"/>
        </w:rPr>
        <w:t>为免除检察官的后顾之忧，从根本上解决公诉标准代替逮捕标准的隐患，需要科学地制定相应的考核标准。建议如下：</w:t>
      </w:r>
    </w:p>
    <w:p>
      <w:pPr>
        <w:tabs>
          <w:tab w:val="left" w:pos="6105"/>
        </w:tabs>
        <w:adjustRightInd w:val="0"/>
        <w:snapToGrid w:val="0"/>
        <w:spacing w:line="360" w:lineRule="auto"/>
        <w:ind w:firstLine="420" w:firstLineChars="200"/>
        <w:rPr>
          <w:rFonts w:hint="eastAsia" w:ascii="宋体" w:hAnsi="宋体" w:cs="宋体"/>
        </w:rPr>
      </w:pPr>
      <w:r>
        <w:rPr>
          <w:rFonts w:hint="eastAsia" w:ascii="宋体" w:hAnsi="宋体" w:cs="宋体"/>
        </w:rPr>
        <w:t>1.捕后关键证据发生变化，法律、法规出现更新，审判实践标准改变而导致无法起诉的不追责。这一条是最基本的保障，并且对证据发生变化有所限制，所谓关键证据是指对定罪起关键性作用的证据，如犯罪嫌疑人翻供、证人翻证，或者出现新的客观证据而导致无法排除合理怀疑的。</w:t>
      </w:r>
    </w:p>
    <w:p>
      <w:pPr>
        <w:tabs>
          <w:tab w:val="left" w:pos="6105"/>
        </w:tabs>
        <w:adjustRightInd w:val="0"/>
        <w:snapToGrid w:val="0"/>
        <w:spacing w:line="360" w:lineRule="auto"/>
        <w:ind w:firstLine="420" w:firstLineChars="200"/>
        <w:rPr>
          <w:rFonts w:hint="eastAsia" w:ascii="宋体" w:hAnsi="宋体" w:cs="宋体"/>
        </w:rPr>
      </w:pPr>
      <w:r>
        <w:rPr>
          <w:rFonts w:hint="eastAsia" w:ascii="宋体" w:hAnsi="宋体" w:cs="宋体"/>
        </w:rPr>
        <w:t>2.逮捕时已经达到“确有证据证明有犯罪事实”的标准，但未能达到“证据确实、充分，排除其他合理怀疑”的标准，检察官详细列出继续取证的提纲要求侦查机关进一步侦查的，捕后经继续侦查而未能补充到提纲中所列证据，或者出现相反证据的，不追究检察官责任。这一条提出，理由在于检察官批捕时已经充分履行了职责，尽到了审视的义务，不应当将侦查机关的补证不能的风险转嫁给检察官承担。</w:t>
      </w:r>
    </w:p>
    <w:p>
      <w:pPr>
        <w:tabs>
          <w:tab w:val="left" w:pos="6105"/>
        </w:tabs>
        <w:adjustRightInd w:val="0"/>
        <w:snapToGrid w:val="0"/>
        <w:spacing w:line="360" w:lineRule="auto"/>
        <w:ind w:firstLine="420" w:firstLineChars="200"/>
        <w:rPr>
          <w:rFonts w:hint="eastAsia" w:ascii="宋体" w:hAnsi="宋体" w:cs="宋体"/>
        </w:rPr>
      </w:pPr>
      <w:r>
        <w:rPr>
          <w:rFonts w:hint="eastAsia" w:ascii="宋体" w:hAnsi="宋体" w:cs="宋体"/>
        </w:rPr>
        <w:t>3.对于上述第2种情况，如果捕后补充到检察官所列证据项而导致成功起诉的，绩效考核应当予以加分奖励，以此鼓励检察官勇于批捕，勇于担责。</w:t>
      </w:r>
    </w:p>
    <w:p>
      <w:pPr>
        <w:tabs>
          <w:tab w:val="left" w:pos="6105"/>
        </w:tabs>
        <w:adjustRightInd w:val="0"/>
        <w:snapToGrid w:val="0"/>
        <w:spacing w:line="360" w:lineRule="auto"/>
        <w:ind w:firstLine="420" w:firstLineChars="200"/>
        <w:rPr>
          <w:rFonts w:hint="eastAsia" w:ascii="宋体" w:hAnsi="宋体" w:cs="宋体"/>
        </w:rPr>
      </w:pPr>
      <w:r>
        <w:rPr>
          <w:rFonts w:hint="eastAsia" w:ascii="宋体" w:hAnsi="宋体" w:cs="宋体"/>
        </w:rPr>
        <w:t>4.检察官认为证据不足而提出不捕，经集体讨论多数意见建议逮捕，或者主管检察长认为现有证据可以先行逮捕的，该案作出批准逮捕决定，在移送审查起诉时，应当更换承办人。新的检察官成功起诉的，原检察官应予扣分，新检察官应予加分。以此制度来控制检察官不敢担责而肆意提出不批准逮捕的情况。</w:t>
      </w:r>
    </w:p>
    <w:p>
      <w:pPr>
        <w:tabs>
          <w:tab w:val="left" w:pos="6105"/>
        </w:tabs>
        <w:adjustRightInd w:val="0"/>
        <w:snapToGrid w:val="0"/>
        <w:spacing w:line="360" w:lineRule="auto"/>
        <w:ind w:firstLine="562" w:firstLineChars="200"/>
        <w:rPr>
          <w:rFonts w:hint="eastAsia" w:ascii="宋体" w:hAnsi="宋体" w:cs="宋体"/>
          <w:b/>
          <w:sz w:val="28"/>
          <w:szCs w:val="28"/>
        </w:rPr>
      </w:pPr>
      <w:r>
        <w:rPr>
          <w:rFonts w:hint="eastAsia" w:ascii="宋体" w:hAnsi="宋体" w:cs="宋体"/>
          <w:b/>
          <w:sz w:val="28"/>
          <w:szCs w:val="28"/>
        </w:rPr>
        <w:t>（二）捕诉一体与认罪认罚制度需要有机结合</w:t>
      </w:r>
    </w:p>
    <w:p>
      <w:pPr>
        <w:tabs>
          <w:tab w:val="left" w:pos="6105"/>
        </w:tabs>
        <w:adjustRightInd w:val="0"/>
        <w:snapToGrid w:val="0"/>
        <w:spacing w:line="360" w:lineRule="auto"/>
        <w:ind w:firstLine="420" w:firstLineChars="200"/>
        <w:rPr>
          <w:rFonts w:hint="eastAsia" w:ascii="宋体" w:hAnsi="宋体" w:cs="宋体"/>
        </w:rPr>
      </w:pPr>
      <w:r>
        <w:rPr>
          <w:rFonts w:hint="eastAsia" w:ascii="宋体" w:hAnsi="宋体" w:cs="宋体"/>
        </w:rPr>
        <w:t>2019年10月24日颁布并施行的最高检《关于适用认罪认罚从宽制度的指导意见》，确定认罪认罚制度贯穿于刑事诉讼的全过程，适用于侦查、起诉、审判各个阶段。那么捕诉一体办案机制与认罪认罚制度“相遇”时，不可避免会产生以下疑问，检察官在审查逮捕阶段会否以“认罪认罚”则没有逮捕必要性，从而诱使犯罪嫌疑人认罪？认罪认罚的自愿性是否无从保障。</w:t>
      </w:r>
    </w:p>
    <w:p>
      <w:pPr>
        <w:tabs>
          <w:tab w:val="left" w:pos="6105"/>
        </w:tabs>
        <w:adjustRightInd w:val="0"/>
        <w:snapToGrid w:val="0"/>
        <w:spacing w:line="360" w:lineRule="auto"/>
        <w:ind w:firstLine="420" w:firstLineChars="200"/>
        <w:rPr>
          <w:rFonts w:hint="eastAsia" w:ascii="宋体" w:hAnsi="宋体" w:cs="宋体"/>
        </w:rPr>
      </w:pPr>
      <w:r>
        <w:rPr>
          <w:rFonts w:hint="eastAsia" w:ascii="宋体" w:hAnsi="宋体" w:cs="宋体"/>
        </w:rPr>
        <w:t>对于无罪的人，关心是检察官是否听取其辩解；对于有罪的人，最关心的除了罪名就是刑期的长短。因此，在讯问犯罪嫌疑人时，最常见的就是嫌疑人会问，“我大概要判多久？”第二次刑事诉讼法明确了认罪认罚从宽制度，形成了中国特色的诉辩交易。但认罪认罚在刑事诉讼的不同阶段，有着不同的定义与内涵。在侦查阶段，犯罪嫌疑人在侦查阶段及审查起诉阶段的初期，罪嫌疑人只需要如实供述自己的罪行，表明愿意接受处罚即可。但在审查起诉及法庭审理阶段，犯罪嫌疑人、被告人除如实供述自己的罪行，同时还要承认检察机关指控的犯罪事实、罪名，同意检察机关提出的量刑建议以及适用的程序。因此，捕诉一体对认罪认罚制度的适用也应当体现出阶段性的特征。</w:t>
      </w:r>
    </w:p>
    <w:p>
      <w:pPr>
        <w:tabs>
          <w:tab w:val="left" w:pos="6105"/>
        </w:tabs>
        <w:adjustRightInd w:val="0"/>
        <w:snapToGrid w:val="0"/>
        <w:spacing w:line="360" w:lineRule="auto"/>
        <w:ind w:firstLine="420" w:firstLineChars="200"/>
        <w:rPr>
          <w:rFonts w:hint="eastAsia" w:ascii="宋体" w:hAnsi="宋体" w:cs="宋体"/>
        </w:rPr>
      </w:pPr>
      <w:r>
        <w:rPr>
          <w:rFonts w:hint="eastAsia" w:ascii="宋体" w:hAnsi="宋体" w:cs="宋体"/>
        </w:rPr>
        <w:t>1.审查逮捕阶段，检察官提审犯罪嫌疑人只需要确认其是否愿意认罪认罚，不得提出具体的刑期来诱导犯罪嫌疑人认罪。首先，在短短七日的审查逮捕期限内，检察官对案件的全面把握是有限的，此时提出的量刑建议未必精准；其次，过早许诺，一旦后期侦查出犯罪嫌疑人的其他罪行，或者调取到立功等法定从轻、减轻处罚情节时，则容易陷入检察官“反悔”的困局。</w:t>
      </w:r>
    </w:p>
    <w:p>
      <w:pPr>
        <w:tabs>
          <w:tab w:val="left" w:pos="6105"/>
        </w:tabs>
        <w:adjustRightInd w:val="0"/>
        <w:snapToGrid w:val="0"/>
        <w:spacing w:line="360" w:lineRule="auto"/>
        <w:ind w:firstLine="420" w:firstLineChars="200"/>
        <w:rPr>
          <w:rFonts w:hint="eastAsia" w:ascii="宋体" w:hAnsi="宋体" w:cs="宋体"/>
        </w:rPr>
      </w:pPr>
      <w:r>
        <w:rPr>
          <w:rFonts w:hint="eastAsia" w:ascii="宋体" w:hAnsi="宋体" w:cs="宋体"/>
        </w:rPr>
        <w:t>2.审查逮捕阶段，检察官不能把“认罪认罚”作为无逮捕必要的唯一依据。逮捕必要性有很多方面的内容，除了犯罪嫌疑人认罪认罚，认罪态度好，有悔罪表现，还应当首先考虑是否是暴力性犯罪，一旦取保候审有无可能产生现实的危险性；其次需考察犯罪嫌疑人是否具有自首、立功、未遂、中止等法定从轻、减轻处罚情节；再次还应当核实有无对被害人进行赔偿、有无取得谅解等情节；此外，还应考察犯罪嫌疑人的身体状况，是否适宜羁押等方面。因此，“认罪认罚”只是无逮捕必要不捕的必要条件而非充分条件。从而限制检察官以“认罪认罚”即可无逮捕必要不捕为由诱导犯罪嫌疑人认罪。</w:t>
      </w:r>
    </w:p>
    <w:p>
      <w:pPr>
        <w:tabs>
          <w:tab w:val="left" w:pos="6105"/>
        </w:tabs>
        <w:adjustRightInd w:val="0"/>
        <w:snapToGrid w:val="0"/>
        <w:spacing w:line="360" w:lineRule="auto"/>
        <w:ind w:firstLine="420" w:firstLineChars="200"/>
        <w:rPr>
          <w:rFonts w:hint="eastAsia" w:ascii="宋体" w:hAnsi="宋体" w:cs="宋体"/>
        </w:rPr>
      </w:pPr>
      <w:r>
        <w:rPr>
          <w:rFonts w:hint="eastAsia" w:ascii="宋体" w:hAnsi="宋体" w:cs="宋体"/>
        </w:rPr>
        <w:t>3.捕诉一体对认罪认罚工作的促进。捕与诉的检察官为同一人，在审查起诉阶段，对于单纯不认罪的犯罪嫌疑人，检察官在审查完全部案件材料，能够形成内心确认犯罪嫌疑人作案的，可以在提审时向其告知认罪认罚制度，并说明在不同阶段认罪认罚从宽的不同幅度，如侦查阶段认罪认罚的，从宽的幅度是30%，审查起诉阶段认罪认罚的，从宽幅度是20%，法庭审理阶段认罪认罚的，从宽的幅度是10%。让犯罪嫌疑人对该制度有充分的认识，让其明白越早认罪认罚越能得到宽大处理，此类单纯不认罪的犯罪嫌疑人，在捕后移送审查起诉时，再面对同一检察官的提审，其负隅顽抗、抵死不认的可能性会降低，因此，捕诉一体明显能促进认罪认罚工作的开展。</w:t>
      </w:r>
    </w:p>
    <w:p>
      <w:pPr>
        <w:adjustRightInd w:val="0"/>
        <w:snapToGrid w:val="0"/>
        <w:spacing w:line="360" w:lineRule="auto"/>
        <w:ind w:firstLine="562" w:firstLineChars="200"/>
        <w:rPr>
          <w:rFonts w:hint="eastAsia" w:ascii="宋体" w:hAnsi="宋体" w:cs="宋体"/>
          <w:b/>
        </w:rPr>
      </w:pPr>
      <w:r>
        <w:rPr>
          <w:rFonts w:hint="eastAsia" w:ascii="宋体" w:hAnsi="宋体" w:cs="宋体"/>
          <w:b/>
          <w:sz w:val="28"/>
          <w:szCs w:val="28"/>
        </w:rPr>
        <w:t>（三）捕诉一体与刑事辩护制度需要相互促进</w:t>
      </w:r>
    </w:p>
    <w:p>
      <w:pPr>
        <w:tabs>
          <w:tab w:val="left" w:pos="6105"/>
        </w:tabs>
        <w:adjustRightInd w:val="0"/>
        <w:snapToGrid w:val="0"/>
        <w:spacing w:line="360" w:lineRule="auto"/>
        <w:ind w:firstLine="420" w:firstLineChars="200"/>
        <w:rPr>
          <w:rFonts w:hint="eastAsia" w:ascii="宋体" w:hAnsi="宋体" w:cs="宋体"/>
        </w:rPr>
      </w:pPr>
      <w:r>
        <w:rPr>
          <w:rFonts w:hint="eastAsia" w:ascii="宋体" w:hAnsi="宋体" w:cs="宋体"/>
        </w:rPr>
        <w:t>捕诉一体后，对律师界造成了空前的“恐慌”，不少辩护律师认为检方从此集侦、捕、诉权力为一体，力量极其强大，刑事诉讼主要是起诉阶段的辩护空间被进一步被压缩，检方的控诉能力也更加强大、专业化，这也导致辩护难度进一步增大。在“捕诉分享”体制下，嫌疑人和辩护人有两次向检察机关提出辩护意见的机会。“捕诉一体”后，嫌疑人和辩护人实质只能获得一次辩护机会，其辩护也将难以对逮捕条件和公诉条件予以兼顾，有可能使辩护效果大打折扣。</w:t>
      </w:r>
      <w:r>
        <w:rPr>
          <w:rFonts w:hint="eastAsia" w:ascii="宋体" w:hAnsi="宋体" w:cs="宋体"/>
        </w:rPr>
        <w:footnoteReference w:id="5"/>
      </w:r>
    </w:p>
    <w:p>
      <w:pPr>
        <w:tabs>
          <w:tab w:val="left" w:pos="6105"/>
        </w:tabs>
        <w:adjustRightInd w:val="0"/>
        <w:snapToGrid w:val="0"/>
        <w:spacing w:line="360" w:lineRule="auto"/>
        <w:ind w:firstLine="420" w:firstLineChars="200"/>
        <w:rPr>
          <w:rFonts w:hint="eastAsia" w:ascii="宋体" w:hAnsi="宋体" w:cs="宋体"/>
        </w:rPr>
      </w:pPr>
      <w:r>
        <w:rPr>
          <w:rFonts w:hint="eastAsia" w:ascii="宋体" w:hAnsi="宋体" w:cs="宋体"/>
        </w:rPr>
        <w:t>事实上，捕诉一体与刑事辩护需要相互促进，形成良性循环。</w:t>
      </w:r>
    </w:p>
    <w:p>
      <w:pPr>
        <w:tabs>
          <w:tab w:val="left" w:pos="6105"/>
        </w:tabs>
        <w:adjustRightInd w:val="0"/>
        <w:snapToGrid w:val="0"/>
        <w:spacing w:line="360" w:lineRule="auto"/>
        <w:ind w:firstLine="420" w:firstLineChars="200"/>
        <w:rPr>
          <w:rFonts w:hint="eastAsia" w:ascii="宋体" w:hAnsi="宋体" w:cs="宋体"/>
        </w:rPr>
      </w:pPr>
      <w:r>
        <w:rPr>
          <w:rFonts w:hint="eastAsia" w:ascii="宋体" w:hAnsi="宋体" w:cs="宋体"/>
        </w:rPr>
        <w:t>1.捕诉一体与刑事辩护相互促进使得批捕阶段的刑事辩护空间增大。不论检察官出于何种考虑，捕诉一体实质导致了案件质量标准的提高。检察官为了不出现“错捕”，除了加强与侦查机关沟通，及时指导侦查、补充证据，必然会积极听取犯罪嫌疑人乃至辩护人的辩解，并会根据辩解进一步进行侦查。在侦查阶段核实清楚证据，排除了犯罪嫌疑人的作案嫌疑，证据不足不捕决定一旦作出，即意味着该案再进入起诉阶段的可能性极低，辩护已经取得阶段性的成功。</w:t>
      </w:r>
    </w:p>
    <w:p>
      <w:pPr>
        <w:tabs>
          <w:tab w:val="left" w:pos="6105"/>
        </w:tabs>
        <w:adjustRightInd w:val="0"/>
        <w:snapToGrid w:val="0"/>
        <w:spacing w:line="360" w:lineRule="auto"/>
        <w:ind w:firstLine="420" w:firstLineChars="200"/>
        <w:rPr>
          <w:rFonts w:hint="eastAsia" w:ascii="宋体" w:hAnsi="宋体" w:cs="宋体"/>
        </w:rPr>
      </w:pPr>
      <w:r>
        <w:rPr>
          <w:rFonts w:hint="eastAsia" w:ascii="宋体" w:hAnsi="宋体" w:cs="宋体"/>
        </w:rPr>
        <w:t>2.捕诉一体与刑事辩护相互促进使得检方与辩方的沟通更加顺畅。如前所述，检察官会更多以电话、面谈、接收法律意见书等形式听取辩护人对是否逮捕的意见。沟通顺畅后，有利于辩方及时提交有利于犯罪嫌疑人的相关证据，也有利于检察官谦听则明。此外，更有利于排除非法证据，对于犯罪嫌疑人而言，其对殴打、威胁等常见的刑讯逼供方式较敏感，但可能并不清楚受到诱供，此时辩护律师的介入，及时向检方提出非法证据的排除并提交相关的线索，检察官对此会更加重视，也更能及时有效地对非法取证进行核实。</w:t>
      </w:r>
    </w:p>
    <w:p>
      <w:pPr>
        <w:adjustRightInd w:val="0"/>
        <w:snapToGrid w:val="0"/>
        <w:spacing w:line="360" w:lineRule="auto"/>
        <w:ind w:firstLine="480" w:firstLineChars="200"/>
        <w:rPr>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2">
    <w:p>
      <w:r>
        <w:separator/>
      </w:r>
    </w:p>
  </w:footnote>
  <w:footnote w:type="continuationSeparator" w:id="13">
    <w:p>
      <w:r>
        <w:continuationSeparator/>
      </w:r>
    </w:p>
  </w:footnote>
  <w:footnote w:id="0">
    <w:p>
      <w:pPr>
        <w:pStyle w:val="2"/>
        <w:rPr>
          <w:rFonts w:eastAsia="宋体"/>
        </w:rPr>
      </w:pPr>
      <w:r>
        <w:rPr>
          <w:rStyle w:val="6"/>
        </w:rPr>
        <w:footnoteRef/>
      </w:r>
      <w:r>
        <w:t xml:space="preserve"> </w:t>
      </w:r>
      <w:r>
        <w:rPr>
          <w:rFonts w:hint="eastAsia"/>
        </w:rPr>
        <w:t>殷黄娟，佛山市顺德区人民检察院第二检察部副主任。</w:t>
      </w:r>
    </w:p>
  </w:footnote>
  <w:footnote w:id="1">
    <w:p>
      <w:pPr>
        <w:pStyle w:val="2"/>
        <w:rPr>
          <w:rStyle w:val="6"/>
        </w:rPr>
      </w:pPr>
      <w:r>
        <w:rPr>
          <w:rFonts w:hint="eastAsia"/>
        </w:rPr>
        <w:t>* 殷黄娟，佛山市顺德区人民检察院第二检察部检察官。</w:t>
      </w:r>
    </w:p>
    <w:p>
      <w:pPr>
        <w:pStyle w:val="2"/>
      </w:pPr>
      <w:r>
        <w:rPr>
          <w:rStyle w:val="6"/>
        </w:rPr>
        <w:footnoteRef/>
      </w:r>
      <w:r>
        <w:rPr>
          <w:rFonts w:hint="eastAsia"/>
        </w:rPr>
        <w:t>步洋洋.除魅与重构：“捕诉合一”的辩证思考【J】.东方法学，2018（6）.</w:t>
      </w:r>
    </w:p>
  </w:footnote>
  <w:footnote w:id="2">
    <w:p>
      <w:pPr>
        <w:pStyle w:val="2"/>
      </w:pPr>
      <w:r>
        <w:rPr>
          <w:rStyle w:val="6"/>
        </w:rPr>
        <w:footnoteRef/>
      </w:r>
      <w:r>
        <w:rPr>
          <w:rFonts w:hint="eastAsia"/>
        </w:rPr>
        <w:t>张军.在转机中推动新时代检察工作全新发展. 2018年9月22日.最高人民检察院官网.</w:t>
      </w:r>
    </w:p>
  </w:footnote>
  <w:footnote w:id="3">
    <w:p>
      <w:pPr>
        <w:pStyle w:val="2"/>
      </w:pPr>
      <w:r>
        <w:rPr>
          <w:rStyle w:val="6"/>
        </w:rPr>
        <w:footnoteRef/>
      </w:r>
      <w:r>
        <w:rPr>
          <w:rFonts w:hint="eastAsia"/>
        </w:rPr>
        <w:t>闵春雷.论审查逮捕程序的诉讼化【J】.法制与社会发展，2016（3）.</w:t>
      </w:r>
    </w:p>
  </w:footnote>
  <w:footnote w:id="4">
    <w:p>
      <w:pPr>
        <w:pStyle w:val="2"/>
      </w:pPr>
      <w:r>
        <w:rPr>
          <w:rStyle w:val="6"/>
        </w:rPr>
        <w:footnoteRef/>
      </w:r>
      <w:r>
        <w:rPr>
          <w:rFonts w:hint="eastAsia"/>
        </w:rPr>
        <w:t>“捕诉分离”V.“捕诉合一”学术研讨会会议综述【J】.《学术之路》微信公众号，2018.6.23.</w:t>
      </w:r>
    </w:p>
  </w:footnote>
  <w:footnote w:id="5">
    <w:p>
      <w:pPr>
        <w:pStyle w:val="2"/>
      </w:pPr>
      <w:r>
        <w:rPr>
          <w:rStyle w:val="6"/>
        </w:rPr>
        <w:footnoteRef/>
      </w:r>
      <w:r>
        <w:rPr>
          <w:rFonts w:hint="eastAsia"/>
        </w:rPr>
        <w:t>陈瑞华：《“异哉，所谓‘捕诉合一’者”》，http://wemedia.ifeng.com/62836028/wemedia.shtml.（2018-05-30）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12"/>
    <w:footnote w:id="1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1871C8"/>
    <w:rsid w:val="221871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note text"/>
    <w:basedOn w:val="1"/>
    <w:semiHidden/>
    <w:qFormat/>
    <w:uiPriority w:val="99"/>
    <w:pPr>
      <w:snapToGrid w:val="0"/>
      <w:jc w:val="left"/>
    </w:pPr>
    <w:rPr>
      <w:rFonts w:asciiTheme="minorHAnsi" w:hAnsiTheme="minorHAnsi" w:eastAsiaTheme="minorEastAsia" w:cstheme="minorBidi"/>
      <w:sz w:val="18"/>
      <w:szCs w:val="18"/>
    </w:rPr>
  </w:style>
  <w:style w:type="table" w:styleId="4">
    <w:name w:val="Table Grid"/>
    <w:basedOn w:val="3"/>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footnote reference"/>
    <w:basedOn w:val="5"/>
    <w:semiHidden/>
    <w:qFormat/>
    <w:uiPriority w:val="0"/>
    <w:rPr>
      <w:rFonts w:cs="Times New Roman"/>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2021-05-08T03:02:00Z</dcterms:created>
  <dc:creator>梦儿要变白 </dc:creator>
  <cp:lastModifiedBy>梦儿要变白 </cp:lastModifiedBy>
  <dcterms:modified xsi:type="dcterms:W3CDTF">2021-05-08T03:02:50Z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6F750A0E6BBE420783C59413D2EBC927</vt:lpwstr>
  </property>
</Properties>
</file>