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jc w:val="center"/>
        <w:rPr>
          <w:rFonts w:hint="eastAsia" w:ascii="宋体" w:hAnsi="宋体" w:cs="宋体"/>
          <w:b/>
          <w:bCs/>
          <w:sz w:val="40"/>
          <w:szCs w:val="40"/>
        </w:rPr>
      </w:pPr>
      <w:bookmarkStart w:id="0" w:name="_GoBack"/>
      <w:bookmarkEnd w:id="0"/>
      <w:r>
        <w:rPr>
          <w:rFonts w:hint="eastAsia" w:ascii="宋体" w:hAnsi="宋体" w:cs="宋体"/>
          <w:b/>
          <w:bCs/>
          <w:sz w:val="40"/>
          <w:szCs w:val="40"/>
        </w:rPr>
        <w:t>“醉驾入刑”实证研究</w:t>
      </w:r>
    </w:p>
    <w:p>
      <w:pPr>
        <w:adjustRightInd w:val="0"/>
        <w:snapToGrid w:val="0"/>
        <w:spacing w:line="360" w:lineRule="auto"/>
        <w:jc w:val="center"/>
        <w:rPr>
          <w:rFonts w:hint="eastAsia" w:ascii="宋体" w:hAnsi="宋体" w:cs="宋体"/>
          <w:b/>
          <w:bCs/>
          <w:sz w:val="36"/>
          <w:szCs w:val="36"/>
        </w:rPr>
      </w:pPr>
      <w:r>
        <w:rPr>
          <w:rFonts w:hint="eastAsia" w:ascii="宋体" w:hAnsi="宋体" w:cs="宋体"/>
          <w:b/>
          <w:bCs/>
          <w:sz w:val="36"/>
          <w:szCs w:val="36"/>
        </w:rPr>
        <w:t>——以佛山市和顺德区司法实践为研究样本</w:t>
      </w:r>
    </w:p>
    <w:p>
      <w:pPr>
        <w:adjustRightInd w:val="0"/>
        <w:snapToGrid w:val="0"/>
        <w:spacing w:line="360" w:lineRule="auto"/>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r>
        <w:rPr>
          <w:rFonts w:hint="eastAsia" w:ascii="楷体_GB2312" w:hAnsi="楷体_GB2312" w:eastAsia="楷体_GB2312" w:cs="楷体_GB2312"/>
          <w:sz w:val="28"/>
          <w:szCs w:val="28"/>
        </w:rPr>
        <w:t>徐  彪  梁毅华  贺金慧</w:t>
      </w:r>
      <w:r>
        <w:rPr>
          <w:rFonts w:hint="eastAsia" w:ascii="楷体_GB2312" w:hAnsi="楷体_GB2312" w:eastAsia="楷体_GB2312" w:cs="楷体_GB2312"/>
          <w:sz w:val="44"/>
          <w:szCs w:val="44"/>
          <w:vertAlign w:val="superscript"/>
        </w:rPr>
        <w:t>*</w:t>
      </w:r>
    </w:p>
    <w:p>
      <w:pPr>
        <w:adjustRightInd w:val="0"/>
        <w:snapToGrid w:val="0"/>
        <w:spacing w:line="360" w:lineRule="auto"/>
        <w:rPr>
          <w:rFonts w:hint="eastAsia" w:ascii="黑体" w:hAnsi="黑体" w:eastAsia="黑体" w:cs="黑体"/>
        </w:rPr>
      </w:pPr>
    </w:p>
    <w:p>
      <w:pPr>
        <w:adjustRightInd w:val="0"/>
        <w:snapToGrid w:val="0"/>
        <w:spacing w:line="360" w:lineRule="auto"/>
        <w:rPr>
          <w:rFonts w:hint="eastAsia" w:ascii="宋体" w:hAnsi="宋体" w:cs="宋体"/>
        </w:rPr>
      </w:pPr>
      <w:r>
        <w:rPr>
          <w:rFonts w:hint="eastAsia" w:ascii="黑体" w:hAnsi="黑体" w:eastAsia="黑体" w:cs="黑体"/>
        </w:rPr>
        <w:t>摘要：</w:t>
      </w:r>
      <w:r>
        <w:rPr>
          <w:rFonts w:hint="eastAsia" w:ascii="宋体" w:hAnsi="宋体" w:cs="宋体"/>
        </w:rPr>
        <w:t>当代“风险社会”之下，“醉驾入刑”有其深刻的立法目的和社会意义，“入刑”对于形成“酒后拒驾”共识、治理酒驾醉驾行为等方面的效果有目共睹。但随着醉驾案件数逐年增高，并成为比重第一的刑事案件，围绕传统刑法谦抑论和现代风险刑法理论而展开的有关“醉驾入刑”的争议开始突显。持刑法谦抑论者认为一律“入刑”的效果和新的风险隐患正在累积，应谨慎考虑刑法的适用范围和力度，坚持刑法的最后手段性；持风险刑法观者认为持续高位的醉驾案发数增加出行风险，要降低风险唯加大刑罚力度、持续用重典。争议的核心在于居高不下的醉驾案发负面数，为此，应在审慎适用风险刑法和坚持刑法谦抑论的双重前提之下，从穷尽行政手段、优化刑法手段、完善社会手段三个角度构建起多维度多层次醉驾行为预防和规制体系，从源头防控醉驾行为，达到减少醉驾犯罪之预期。</w:t>
      </w:r>
    </w:p>
    <w:p>
      <w:pPr>
        <w:adjustRightInd w:val="0"/>
        <w:snapToGrid w:val="0"/>
        <w:spacing w:line="360" w:lineRule="auto"/>
        <w:rPr>
          <w:rFonts w:hint="eastAsia" w:ascii="宋体" w:hAnsi="宋体" w:cs="宋体"/>
        </w:rPr>
      </w:pPr>
      <w:r>
        <w:rPr>
          <w:rFonts w:hint="eastAsia" w:ascii="黑体" w:hAnsi="黑体" w:eastAsia="黑体" w:cs="黑体"/>
        </w:rPr>
        <w:t>关键词：</w:t>
      </w:r>
      <w:r>
        <w:rPr>
          <w:rFonts w:hint="eastAsia" w:ascii="宋体" w:hAnsi="宋体" w:cs="宋体"/>
        </w:rPr>
        <w:t xml:space="preserve">醉驾入刑  风险社会  刑法谦抑性  源头防控  </w:t>
      </w:r>
    </w:p>
    <w:p>
      <w:pPr>
        <w:adjustRightInd w:val="0"/>
        <w:snapToGrid w:val="0"/>
        <w:spacing w:line="360" w:lineRule="auto"/>
        <w:ind w:firstLine="420" w:firstLineChars="200"/>
        <w:rPr>
          <w:rFonts w:hint="eastAsia" w:ascii="宋体" w:hAnsi="宋体" w:cs="宋体"/>
        </w:rPr>
      </w:pPr>
    </w:p>
    <w:p>
      <w:pPr>
        <w:adjustRightInd w:val="0"/>
        <w:snapToGrid w:val="0"/>
        <w:spacing w:line="360" w:lineRule="auto"/>
        <w:ind w:firstLine="422" w:firstLineChars="200"/>
        <w:rPr>
          <w:rFonts w:hint="eastAsia" w:ascii="宋体" w:hAnsi="宋体" w:cs="宋体"/>
          <w:b/>
          <w:bCs/>
        </w:rPr>
      </w:pPr>
      <w:r>
        <w:rPr>
          <w:rFonts w:hint="eastAsia" w:ascii="宋体" w:hAnsi="宋体" w:cs="宋体"/>
          <w:b/>
          <w:bCs/>
        </w:rPr>
        <w:t>一、风险社会之下“醉驾入刑”的必要性及其现实意义</w:t>
      </w:r>
    </w:p>
    <w:p>
      <w:pPr>
        <w:adjustRightInd w:val="0"/>
        <w:snapToGrid w:val="0"/>
        <w:spacing w:line="360" w:lineRule="auto"/>
        <w:ind w:firstLine="422" w:firstLineChars="200"/>
        <w:rPr>
          <w:rFonts w:hint="eastAsia" w:ascii="宋体" w:hAnsi="宋体" w:cs="宋体"/>
          <w:b/>
          <w:bCs/>
        </w:rPr>
      </w:pPr>
      <w:r>
        <w:rPr>
          <w:rFonts w:hint="eastAsia" w:ascii="宋体" w:hAnsi="宋体" w:cs="宋体"/>
          <w:b/>
          <w:bCs/>
        </w:rPr>
        <w:t>（一）风险刑法是风险社会之下的必然发展</w:t>
      </w:r>
    </w:p>
    <w:p>
      <w:pPr>
        <w:adjustRightInd w:val="0"/>
        <w:snapToGrid w:val="0"/>
        <w:spacing w:line="360" w:lineRule="auto"/>
        <w:ind w:firstLine="420" w:firstLineChars="200"/>
        <w:rPr>
          <w:rFonts w:hint="eastAsia" w:ascii="宋体" w:hAnsi="宋体" w:cs="宋体"/>
        </w:rPr>
      </w:pPr>
      <w:r>
        <w:rPr>
          <w:rFonts w:hint="eastAsia" w:ascii="宋体" w:hAnsi="宋体" w:cs="宋体"/>
        </w:rPr>
        <w:t>“风险社会”一说，最早由德国学者乌尔里希·贝克基于20世纪中期以后人类社会高度工业化、科技化发展所导致的如环境污染、网络安全、恐怖主义等高度风险的社会现状提出</w:t>
      </w:r>
      <w:r>
        <w:rPr>
          <w:rStyle w:val="5"/>
          <w:rFonts w:hint="eastAsia"/>
        </w:rPr>
        <w:footnoteReference w:id="0"/>
      </w:r>
      <w:r>
        <w:rPr>
          <w:rFonts w:hint="eastAsia" w:ascii="宋体" w:hAnsi="宋体" w:cs="宋体"/>
        </w:rPr>
        <w:t>。相较于远古以来人类社会早就存在诸如自然灾害之类的风险，贝克将现代社会的风险解读为一种发生时间更不确定、危害后果更严重、危害对象更为广泛的危险。面对此类与现代工业科技发展相伴而生的大量现代性风险，如何让刑法扮演更为重要的角色，运用具有最严厉手段的刑罚来消除不断产生的社会风险，保障国民生活生产安全，是当代刑法发展的重要议题。在此情况之下，虽然刑法的核心目的依然是保护法益，但立法者也开始逐步考虑将刑法的作用扩大到保护国民的安全感上。基于此，风险刑法的概念在理论和实务界也应势产生。所谓“风险刑法”，是指通过预防和控制行为人违反规范产生的风险，以处罚危险犯的方式将对法益的保护前置，以进一步实现刑法一般预防功能的一种现代刑法理念</w:t>
      </w:r>
      <w:r>
        <w:rPr>
          <w:rStyle w:val="5"/>
          <w:rFonts w:hint="eastAsia"/>
        </w:rPr>
        <w:footnoteReference w:id="1"/>
      </w:r>
      <w:r>
        <w:rPr>
          <w:rFonts w:hint="eastAsia" w:ascii="宋体" w:hAnsi="宋体" w:cs="宋体"/>
        </w:rPr>
        <w:t>。</w:t>
      </w:r>
    </w:p>
    <w:p>
      <w:pPr>
        <w:adjustRightInd w:val="0"/>
        <w:snapToGrid w:val="0"/>
        <w:spacing w:line="360" w:lineRule="auto"/>
        <w:ind w:firstLine="422" w:firstLineChars="200"/>
        <w:rPr>
          <w:rFonts w:hint="eastAsia" w:ascii="宋体" w:hAnsi="宋体" w:cs="宋体"/>
          <w:b/>
          <w:bCs/>
        </w:rPr>
      </w:pPr>
      <w:r>
        <w:rPr>
          <w:rFonts w:hint="eastAsia" w:ascii="宋体" w:hAnsi="宋体" w:cs="宋体"/>
          <w:b/>
          <w:bCs/>
        </w:rPr>
        <w:t>（二）风险社会之下“醉驾入刑”的必要性及其现实意义</w:t>
      </w:r>
    </w:p>
    <w:p>
      <w:pPr>
        <w:adjustRightInd w:val="0"/>
        <w:snapToGrid w:val="0"/>
        <w:spacing w:line="360" w:lineRule="auto"/>
        <w:ind w:firstLine="420" w:firstLineChars="200"/>
        <w:rPr>
          <w:rFonts w:hint="eastAsia" w:ascii="宋体" w:hAnsi="宋体" w:cs="宋体"/>
        </w:rPr>
      </w:pPr>
      <w:r>
        <w:rPr>
          <w:rFonts w:hint="eastAsia" w:ascii="宋体" w:hAnsi="宋体" w:cs="宋体"/>
        </w:rPr>
        <w:t>尽管中国社会的“风险程度”尚未到达发达国家的程度，但即便纵向与上个世纪七八十年代的中国社会相比，社会主要风险的变化和发展是不容忽视的，可以说，中国已经迎来了风险社会。尤其是进入汽车时代后，伴随着国民汽车保有量的持续增长，交通安全领域的风险不断增加，国民出行的安全意识也大增，安全需求空前。特别是</w:t>
      </w:r>
      <w:r>
        <w:rPr>
          <w:rFonts w:hint="eastAsia" w:ascii="宋体" w:hAnsi="宋体" w:cs="宋体"/>
          <w:color w:val="000000"/>
        </w:rPr>
        <w:t>2008年的</w:t>
      </w:r>
      <w:r>
        <w:rPr>
          <w:rFonts w:hint="eastAsia" w:ascii="宋体" w:hAnsi="宋体" w:cs="宋体"/>
        </w:rPr>
        <w:t>成都孙伟铭醉驾致4 死1 重伤案、2009年的南京张明宝醉驾致5 死4 伤案等一系列因“醉驾“造成的恶性交通肇事案的连发，国民抵制“醉驾”、要求“严惩“的呼声一时间在全国范围内高涨。醉驾造成的公共危险，已严重影响人们的日常安全感，对于没有造成恶性交通事故的醉酒的危险行为，仅予以行政处罚，不足以遏制日益猖獗的醉驾行为，不足以面对日益增多的机动车基数；对具有如此严重公共危险的行为，仅规制实害犯，而不规制危险犯对此法益采取前置性的保护，既不符合世界各国刑法立法的通例，也与我国刑法已规制的诸多危险犯的先例不均衡，在此紧迫的现实需求之下，醉驾型危险驾驶罪在《中华人民共和国刑法修正案（八）》（以下称《刑修（八）》中首次被确定。</w:t>
      </w:r>
    </w:p>
    <w:p>
      <w:pPr>
        <w:adjustRightInd w:val="0"/>
        <w:snapToGrid w:val="0"/>
        <w:spacing w:line="360" w:lineRule="auto"/>
        <w:ind w:firstLine="420" w:firstLineChars="200"/>
        <w:rPr>
          <w:rFonts w:hint="eastAsia" w:ascii="宋体" w:hAnsi="宋体" w:cs="宋体"/>
          <w:color w:val="000000"/>
        </w:rPr>
      </w:pPr>
      <w:r>
        <w:rPr>
          <w:rFonts w:hint="eastAsia" w:ascii="宋体" w:hAnsi="宋体" w:cs="宋体"/>
          <w:color w:val="000000"/>
        </w:rPr>
        <w:t>我国“醉驾”立法参照了世界上大多数其他国家或地区的做法，将醉酒驾驶设置为抽象危险犯而非具体危险犯，即仅从客观上判断行为人醉酒状态下驾驶机动车加上行为人的驾驶故意，不需要考虑其他情节。“醉驾</w:t>
      </w:r>
      <w:r>
        <w:rPr>
          <w:rFonts w:hint="eastAsia" w:ascii="宋体" w:hAnsi="宋体" w:cs="宋体"/>
        </w:rPr>
        <w:t>入刑”的立法初衷，是以“结果犯”论处转向以“行为犯”论处，让“危险”的预期和刑法的威慑作用前置，提前规范驾驶人的行为，从而达到从源头阻断可能导致危险后果的行为的发生，发挥刑法的预防功能，</w:t>
      </w:r>
      <w:r>
        <w:rPr>
          <w:rFonts w:hint="eastAsia" w:ascii="宋体" w:hAnsi="宋体" w:cs="宋体"/>
          <w:color w:val="000000"/>
        </w:rPr>
        <w:t>这是刑罚积极主义的表现，是风险社会之下的必然要求，也是对普通民众安全感的回应</w:t>
      </w:r>
      <w:r>
        <w:rPr>
          <w:rFonts w:hint="eastAsia" w:ascii="宋体" w:hAnsi="宋体" w:cs="宋体"/>
        </w:rPr>
        <w:t>。可以说，“醉驾入刑”在当代风险社会之下有其深刻的立法意义和紧迫的现实需求，入刑的必要性是毋庸置疑的。同时，</w:t>
      </w:r>
      <w:r>
        <w:rPr>
          <w:rFonts w:hint="eastAsia" w:ascii="宋体" w:hAnsi="宋体" w:cs="宋体"/>
          <w:color w:val="000000"/>
        </w:rPr>
        <w:t>“入刑”之初“一刀切”地将醉驾犯罪直接设置为抽象危险犯，那么在司法实践中就不必每一个案子都去判断驾驶人的酒量大小、醉酒状态或危险性，而是仅以客观可检测的酒精含量作为唯一的入刑标准，也确保了司法实践的操作可能性。</w:t>
      </w:r>
    </w:p>
    <w:p>
      <w:pPr>
        <w:adjustRightInd w:val="0"/>
        <w:snapToGrid w:val="0"/>
        <w:spacing w:line="360" w:lineRule="auto"/>
        <w:ind w:firstLine="422" w:firstLineChars="200"/>
        <w:rPr>
          <w:rFonts w:hint="eastAsia" w:ascii="宋体" w:hAnsi="宋体" w:cs="宋体"/>
          <w:b/>
          <w:bCs/>
        </w:rPr>
      </w:pPr>
      <w:r>
        <w:rPr>
          <w:rFonts w:hint="eastAsia" w:ascii="宋体" w:hAnsi="宋体" w:cs="宋体"/>
          <w:b/>
          <w:bCs/>
          <w:color w:val="000000"/>
        </w:rPr>
        <w:t>二、</w:t>
      </w:r>
      <w:r>
        <w:rPr>
          <w:rFonts w:hint="eastAsia" w:ascii="宋体" w:hAnsi="宋体" w:cs="宋体"/>
          <w:b/>
          <w:bCs/>
        </w:rPr>
        <w:t>“醉驾”犯罪主要特征分析——以佛山市和顺德区办理醉驾案件司法实践为样本</w:t>
      </w:r>
    </w:p>
    <w:p>
      <w:pPr>
        <w:adjustRightInd w:val="0"/>
        <w:snapToGrid w:val="0"/>
        <w:spacing w:line="360" w:lineRule="auto"/>
        <w:ind w:firstLine="422" w:firstLineChars="200"/>
        <w:rPr>
          <w:rFonts w:hint="eastAsia" w:ascii="宋体" w:hAnsi="宋体" w:cs="宋体"/>
          <w:b/>
          <w:bCs/>
        </w:rPr>
      </w:pPr>
      <w:r>
        <w:rPr>
          <w:rFonts w:hint="eastAsia" w:ascii="宋体" w:hAnsi="宋体" w:cs="宋体"/>
          <w:b/>
          <w:bCs/>
        </w:rPr>
        <w:t>（一）佛山市和顺德区“醉驾”案件实证研究有其重要意义</w:t>
      </w:r>
    </w:p>
    <w:p>
      <w:pPr>
        <w:adjustRightInd w:val="0"/>
        <w:snapToGrid w:val="0"/>
        <w:spacing w:line="360" w:lineRule="auto"/>
        <w:ind w:firstLine="420" w:firstLineChars="200"/>
        <w:rPr>
          <w:rFonts w:hint="eastAsia" w:ascii="宋体" w:hAnsi="宋体" w:cs="宋体"/>
        </w:rPr>
      </w:pPr>
      <w:r>
        <w:rPr>
          <w:rFonts w:hint="eastAsia" w:ascii="宋体" w:hAnsi="宋体" w:cs="宋体"/>
        </w:rPr>
        <w:t>佛山市和顺德区分别作为我国珠三角地区的重要地级市和区级单位，常住人口分别约800万和280万，刑事案件量在全国同级别行政单位中一直排在前列，也是醉驾案件高发地区。据统计，自2011年5月1日醉驾“入刑”以来，佛山全市检察机关共受理移送审查起诉醉驾案件27404人，平均每月受理249人，相当于平均每天就有8.3人被移送审查起诉；尤其在醉驾案件数自2016年成倍增长并持续稳定保持在高位至今的五年时间里，全市每月约420人被移送审查起诉，每天有14人被移送审查起诉。单顺德作为一个基层区级单位来说，入刑至今就共受理了10092人，同样是在2016年成倍式增长后醉驾数保持稳定高位的五年里，相当于在一个常住人口约280万的区县级地区每月就有150人被移送审查起诉。基于此庞大的醉驾案件数据基础和实践经验支撑，加上佛山市和顺德区作为全国经济发展强市、强区的典型，佛山市和顺德区两级地区办理醉驾案件实践相对于全国各地区而言有着充足的代表意义和实证研究意义。</w:t>
      </w:r>
    </w:p>
    <w:p>
      <w:pPr>
        <w:adjustRightInd w:val="0"/>
        <w:snapToGrid w:val="0"/>
        <w:spacing w:line="360" w:lineRule="auto"/>
        <w:ind w:firstLine="420" w:firstLineChars="200"/>
        <w:rPr>
          <w:rFonts w:hint="eastAsia" w:ascii="宋体" w:hAnsi="宋体" w:cs="宋体"/>
        </w:rPr>
      </w:pPr>
      <w:r>
        <w:rPr>
          <w:rFonts w:hint="eastAsia" w:ascii="宋体" w:hAnsi="宋体" w:cs="宋体"/>
        </w:rPr>
        <w:t>表1：2011年5月1日刑修（八）施行后，佛山市办理醉驾案件数</w:t>
      </w:r>
      <w:r>
        <w:rPr>
          <w:rStyle w:val="5"/>
          <w:rFonts w:hint="eastAsia"/>
        </w:rPr>
        <w:footnoteReference w:id="2"/>
      </w:r>
      <w:r>
        <w:rPr>
          <w:rFonts w:hint="eastAsia" w:ascii="宋体" w:hAnsi="宋体" w:cs="宋体"/>
        </w:rPr>
        <w:t>（人数）与相关案件数对比表</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42"/>
        <w:gridCol w:w="788"/>
        <w:gridCol w:w="788"/>
        <w:gridCol w:w="787"/>
        <w:gridCol w:w="788"/>
        <w:gridCol w:w="788"/>
        <w:gridCol w:w="788"/>
        <w:gridCol w:w="788"/>
        <w:gridCol w:w="788"/>
        <w:gridCol w:w="788"/>
        <w:gridCol w:w="1109"/>
        <w:gridCol w:w="9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1042" w:type="dxa"/>
          </w:tcPr>
          <w:p>
            <w:pPr>
              <w:adjustRightInd w:val="0"/>
              <w:snapToGrid w:val="0"/>
              <w:spacing w:line="360" w:lineRule="auto"/>
              <w:rPr>
                <w:rFonts w:hint="eastAsia" w:ascii="宋体" w:hAnsi="宋体" w:cs="宋体"/>
                <w:b/>
                <w:bCs/>
              </w:rPr>
            </w:pPr>
            <w:r>
              <w:rPr>
                <w:rFonts w:hint="eastAsia" w:ascii="宋体" w:hAnsi="宋体" w:cs="宋体"/>
                <w:b/>
                <w:bCs/>
              </w:rPr>
              <w:t>年度</w:t>
            </w:r>
          </w:p>
        </w:tc>
        <w:tc>
          <w:tcPr>
            <w:tcW w:w="788" w:type="dxa"/>
          </w:tcPr>
          <w:p>
            <w:pPr>
              <w:adjustRightInd w:val="0"/>
              <w:snapToGrid w:val="0"/>
              <w:spacing w:line="360" w:lineRule="auto"/>
              <w:rPr>
                <w:rFonts w:hint="eastAsia" w:ascii="宋体" w:hAnsi="宋体" w:cs="宋体"/>
                <w:b/>
                <w:bCs/>
              </w:rPr>
            </w:pPr>
            <w:r>
              <w:rPr>
                <w:rFonts w:hint="eastAsia" w:ascii="宋体" w:hAnsi="宋体" w:cs="宋体"/>
                <w:b/>
                <w:bCs/>
              </w:rPr>
              <w:t>2011</w:t>
            </w:r>
          </w:p>
        </w:tc>
        <w:tc>
          <w:tcPr>
            <w:tcW w:w="788" w:type="dxa"/>
          </w:tcPr>
          <w:p>
            <w:pPr>
              <w:adjustRightInd w:val="0"/>
              <w:snapToGrid w:val="0"/>
              <w:spacing w:line="360" w:lineRule="auto"/>
              <w:rPr>
                <w:rFonts w:hint="eastAsia" w:ascii="宋体" w:hAnsi="宋体" w:cs="宋体"/>
                <w:b/>
                <w:bCs/>
              </w:rPr>
            </w:pPr>
            <w:r>
              <w:rPr>
                <w:rFonts w:hint="eastAsia" w:ascii="宋体" w:hAnsi="宋体" w:cs="宋体"/>
                <w:b/>
                <w:bCs/>
              </w:rPr>
              <w:t>2012</w:t>
            </w:r>
          </w:p>
        </w:tc>
        <w:tc>
          <w:tcPr>
            <w:tcW w:w="787" w:type="dxa"/>
          </w:tcPr>
          <w:p>
            <w:pPr>
              <w:adjustRightInd w:val="0"/>
              <w:snapToGrid w:val="0"/>
              <w:spacing w:line="360" w:lineRule="auto"/>
              <w:rPr>
                <w:rFonts w:hint="eastAsia" w:ascii="宋体" w:hAnsi="宋体" w:cs="宋体"/>
                <w:b/>
                <w:bCs/>
              </w:rPr>
            </w:pPr>
            <w:r>
              <w:rPr>
                <w:rFonts w:hint="eastAsia" w:ascii="宋体" w:hAnsi="宋体" w:cs="宋体"/>
                <w:b/>
                <w:bCs/>
              </w:rPr>
              <w:t>2013</w:t>
            </w:r>
          </w:p>
        </w:tc>
        <w:tc>
          <w:tcPr>
            <w:tcW w:w="788" w:type="dxa"/>
          </w:tcPr>
          <w:p>
            <w:pPr>
              <w:adjustRightInd w:val="0"/>
              <w:snapToGrid w:val="0"/>
              <w:spacing w:line="360" w:lineRule="auto"/>
              <w:rPr>
                <w:rFonts w:hint="eastAsia" w:ascii="宋体" w:hAnsi="宋体" w:cs="宋体"/>
                <w:b/>
                <w:bCs/>
              </w:rPr>
            </w:pPr>
            <w:r>
              <w:rPr>
                <w:rFonts w:hint="eastAsia" w:ascii="宋体" w:hAnsi="宋体" w:cs="宋体"/>
                <w:b/>
                <w:bCs/>
              </w:rPr>
              <w:t>2014</w:t>
            </w:r>
          </w:p>
        </w:tc>
        <w:tc>
          <w:tcPr>
            <w:tcW w:w="788" w:type="dxa"/>
          </w:tcPr>
          <w:p>
            <w:pPr>
              <w:adjustRightInd w:val="0"/>
              <w:snapToGrid w:val="0"/>
              <w:spacing w:line="360" w:lineRule="auto"/>
              <w:rPr>
                <w:rFonts w:hint="eastAsia" w:ascii="宋体" w:hAnsi="宋体" w:cs="宋体"/>
                <w:b/>
                <w:bCs/>
              </w:rPr>
            </w:pPr>
            <w:r>
              <w:rPr>
                <w:rFonts w:hint="eastAsia" w:ascii="宋体" w:hAnsi="宋体" w:cs="宋体"/>
                <w:b/>
                <w:bCs/>
              </w:rPr>
              <w:t>2015</w:t>
            </w:r>
          </w:p>
        </w:tc>
        <w:tc>
          <w:tcPr>
            <w:tcW w:w="788" w:type="dxa"/>
          </w:tcPr>
          <w:p>
            <w:pPr>
              <w:adjustRightInd w:val="0"/>
              <w:snapToGrid w:val="0"/>
              <w:spacing w:line="360" w:lineRule="auto"/>
              <w:rPr>
                <w:rFonts w:hint="eastAsia" w:ascii="宋体" w:hAnsi="宋体" w:cs="宋体"/>
                <w:b/>
                <w:bCs/>
              </w:rPr>
            </w:pPr>
            <w:r>
              <w:rPr>
                <w:rFonts w:hint="eastAsia" w:ascii="宋体" w:hAnsi="宋体" w:cs="宋体"/>
                <w:b/>
                <w:bCs/>
              </w:rPr>
              <w:t>2016</w:t>
            </w:r>
          </w:p>
        </w:tc>
        <w:tc>
          <w:tcPr>
            <w:tcW w:w="788" w:type="dxa"/>
          </w:tcPr>
          <w:p>
            <w:pPr>
              <w:adjustRightInd w:val="0"/>
              <w:snapToGrid w:val="0"/>
              <w:spacing w:line="360" w:lineRule="auto"/>
              <w:rPr>
                <w:rFonts w:hint="eastAsia" w:ascii="宋体" w:hAnsi="宋体" w:cs="宋体"/>
                <w:b/>
                <w:bCs/>
              </w:rPr>
            </w:pPr>
            <w:r>
              <w:rPr>
                <w:rFonts w:hint="eastAsia" w:ascii="宋体" w:hAnsi="宋体" w:cs="宋体"/>
                <w:b/>
                <w:bCs/>
              </w:rPr>
              <w:t>2017</w:t>
            </w:r>
          </w:p>
        </w:tc>
        <w:tc>
          <w:tcPr>
            <w:tcW w:w="788" w:type="dxa"/>
          </w:tcPr>
          <w:p>
            <w:pPr>
              <w:adjustRightInd w:val="0"/>
              <w:snapToGrid w:val="0"/>
              <w:spacing w:line="360" w:lineRule="auto"/>
              <w:rPr>
                <w:rFonts w:hint="eastAsia" w:ascii="宋体" w:hAnsi="宋体" w:cs="宋体"/>
                <w:b/>
                <w:bCs/>
              </w:rPr>
            </w:pPr>
            <w:r>
              <w:rPr>
                <w:rFonts w:hint="eastAsia" w:ascii="宋体" w:hAnsi="宋体" w:cs="宋体"/>
                <w:b/>
                <w:bCs/>
              </w:rPr>
              <w:t>2018</w:t>
            </w:r>
          </w:p>
        </w:tc>
        <w:tc>
          <w:tcPr>
            <w:tcW w:w="788" w:type="dxa"/>
          </w:tcPr>
          <w:p>
            <w:pPr>
              <w:adjustRightInd w:val="0"/>
              <w:snapToGrid w:val="0"/>
              <w:spacing w:line="360" w:lineRule="auto"/>
              <w:rPr>
                <w:rFonts w:hint="eastAsia" w:ascii="宋体" w:hAnsi="宋体" w:cs="宋体"/>
                <w:b/>
                <w:bCs/>
              </w:rPr>
            </w:pPr>
            <w:r>
              <w:rPr>
                <w:rFonts w:hint="eastAsia" w:ascii="宋体" w:hAnsi="宋体" w:cs="宋体"/>
                <w:b/>
                <w:bCs/>
              </w:rPr>
              <w:t>2019</w:t>
            </w:r>
          </w:p>
        </w:tc>
        <w:tc>
          <w:tcPr>
            <w:tcW w:w="1109" w:type="dxa"/>
          </w:tcPr>
          <w:p>
            <w:pPr>
              <w:adjustRightInd w:val="0"/>
              <w:snapToGrid w:val="0"/>
              <w:spacing w:line="360" w:lineRule="auto"/>
              <w:rPr>
                <w:rFonts w:hint="eastAsia" w:ascii="宋体" w:hAnsi="宋体" w:cs="宋体"/>
                <w:b/>
                <w:bCs/>
              </w:rPr>
            </w:pPr>
            <w:r>
              <w:rPr>
                <w:rFonts w:hint="eastAsia" w:ascii="宋体" w:hAnsi="宋体" w:cs="宋体"/>
                <w:b/>
                <w:bCs/>
              </w:rPr>
              <w:t>2020上半年</w:t>
            </w:r>
          </w:p>
        </w:tc>
        <w:tc>
          <w:tcPr>
            <w:tcW w:w="915" w:type="dxa"/>
          </w:tcPr>
          <w:p>
            <w:pPr>
              <w:adjustRightInd w:val="0"/>
              <w:snapToGrid w:val="0"/>
              <w:spacing w:line="360" w:lineRule="auto"/>
              <w:rPr>
                <w:rFonts w:hint="eastAsia" w:ascii="宋体" w:hAnsi="宋体" w:cs="宋体"/>
                <w:b/>
                <w:bCs/>
              </w:rPr>
            </w:pPr>
            <w:r>
              <w:rPr>
                <w:rFonts w:hint="eastAsia" w:ascii="宋体" w:hAnsi="宋体" w:cs="宋体"/>
                <w:b/>
                <w:bCs/>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1042" w:type="dxa"/>
          </w:tcPr>
          <w:p>
            <w:pPr>
              <w:adjustRightInd w:val="0"/>
              <w:snapToGrid w:val="0"/>
              <w:spacing w:line="360" w:lineRule="auto"/>
              <w:rPr>
                <w:rFonts w:hint="eastAsia" w:ascii="宋体" w:hAnsi="宋体" w:cs="宋体"/>
              </w:rPr>
            </w:pPr>
            <w:r>
              <w:rPr>
                <w:rFonts w:hint="eastAsia" w:ascii="宋体" w:hAnsi="宋体" w:cs="宋体"/>
              </w:rPr>
              <w:t>总数</w:t>
            </w:r>
          </w:p>
        </w:tc>
        <w:tc>
          <w:tcPr>
            <w:tcW w:w="788" w:type="dxa"/>
          </w:tcPr>
          <w:p>
            <w:pPr>
              <w:adjustRightInd w:val="0"/>
              <w:snapToGrid w:val="0"/>
              <w:spacing w:line="360" w:lineRule="auto"/>
              <w:rPr>
                <w:rFonts w:hint="eastAsia" w:ascii="宋体" w:hAnsi="宋体" w:cs="宋体"/>
              </w:rPr>
            </w:pPr>
            <w:r>
              <w:rPr>
                <w:rFonts w:hint="eastAsia" w:ascii="宋体" w:hAnsi="宋体" w:cs="宋体"/>
              </w:rPr>
              <w:t>12239</w:t>
            </w:r>
          </w:p>
        </w:tc>
        <w:tc>
          <w:tcPr>
            <w:tcW w:w="788" w:type="dxa"/>
          </w:tcPr>
          <w:p>
            <w:pPr>
              <w:adjustRightInd w:val="0"/>
              <w:snapToGrid w:val="0"/>
              <w:spacing w:line="360" w:lineRule="auto"/>
              <w:rPr>
                <w:rFonts w:hint="eastAsia" w:ascii="宋体" w:hAnsi="宋体" w:cs="宋体"/>
              </w:rPr>
            </w:pPr>
            <w:r>
              <w:rPr>
                <w:rFonts w:hint="eastAsia" w:ascii="宋体" w:hAnsi="宋体" w:cs="宋体"/>
              </w:rPr>
              <w:t>16464</w:t>
            </w:r>
          </w:p>
        </w:tc>
        <w:tc>
          <w:tcPr>
            <w:tcW w:w="787" w:type="dxa"/>
          </w:tcPr>
          <w:p>
            <w:pPr>
              <w:adjustRightInd w:val="0"/>
              <w:snapToGrid w:val="0"/>
              <w:spacing w:line="360" w:lineRule="auto"/>
              <w:rPr>
                <w:rFonts w:hint="eastAsia" w:ascii="宋体" w:hAnsi="宋体" w:cs="宋体"/>
              </w:rPr>
            </w:pPr>
            <w:r>
              <w:rPr>
                <w:rFonts w:hint="eastAsia" w:ascii="宋体" w:hAnsi="宋体" w:cs="宋体"/>
              </w:rPr>
              <w:t>17566</w:t>
            </w:r>
          </w:p>
        </w:tc>
        <w:tc>
          <w:tcPr>
            <w:tcW w:w="788" w:type="dxa"/>
          </w:tcPr>
          <w:p>
            <w:pPr>
              <w:adjustRightInd w:val="0"/>
              <w:snapToGrid w:val="0"/>
              <w:spacing w:line="360" w:lineRule="auto"/>
              <w:rPr>
                <w:rFonts w:hint="eastAsia" w:ascii="宋体" w:hAnsi="宋体" w:cs="宋体"/>
              </w:rPr>
            </w:pPr>
            <w:r>
              <w:rPr>
                <w:rFonts w:hint="eastAsia" w:ascii="宋体" w:hAnsi="宋体" w:cs="宋体"/>
              </w:rPr>
              <w:t>18730</w:t>
            </w:r>
          </w:p>
        </w:tc>
        <w:tc>
          <w:tcPr>
            <w:tcW w:w="788" w:type="dxa"/>
          </w:tcPr>
          <w:p>
            <w:pPr>
              <w:adjustRightInd w:val="0"/>
              <w:snapToGrid w:val="0"/>
              <w:spacing w:line="360" w:lineRule="auto"/>
              <w:rPr>
                <w:rFonts w:hint="eastAsia" w:ascii="宋体" w:hAnsi="宋体" w:cs="宋体"/>
              </w:rPr>
            </w:pPr>
            <w:r>
              <w:rPr>
                <w:rFonts w:hint="eastAsia" w:ascii="宋体" w:hAnsi="宋体" w:cs="宋体"/>
              </w:rPr>
              <w:t>21594</w:t>
            </w:r>
          </w:p>
        </w:tc>
        <w:tc>
          <w:tcPr>
            <w:tcW w:w="788" w:type="dxa"/>
          </w:tcPr>
          <w:p>
            <w:pPr>
              <w:adjustRightInd w:val="0"/>
              <w:snapToGrid w:val="0"/>
              <w:spacing w:line="360" w:lineRule="auto"/>
              <w:rPr>
                <w:rFonts w:hint="eastAsia" w:ascii="宋体" w:hAnsi="宋体" w:cs="宋体"/>
              </w:rPr>
            </w:pPr>
            <w:r>
              <w:rPr>
                <w:rFonts w:hint="eastAsia" w:ascii="宋体" w:hAnsi="宋体" w:cs="宋体"/>
              </w:rPr>
              <w:t>21014</w:t>
            </w:r>
          </w:p>
        </w:tc>
        <w:tc>
          <w:tcPr>
            <w:tcW w:w="788" w:type="dxa"/>
          </w:tcPr>
          <w:p>
            <w:pPr>
              <w:adjustRightInd w:val="0"/>
              <w:snapToGrid w:val="0"/>
              <w:spacing w:line="360" w:lineRule="auto"/>
              <w:rPr>
                <w:rFonts w:hint="eastAsia" w:ascii="宋体" w:hAnsi="宋体" w:cs="宋体"/>
              </w:rPr>
            </w:pPr>
            <w:r>
              <w:rPr>
                <w:rFonts w:hint="eastAsia" w:ascii="宋体" w:hAnsi="宋体" w:cs="宋体"/>
              </w:rPr>
              <w:t>21202</w:t>
            </w:r>
          </w:p>
        </w:tc>
        <w:tc>
          <w:tcPr>
            <w:tcW w:w="788" w:type="dxa"/>
          </w:tcPr>
          <w:p>
            <w:pPr>
              <w:adjustRightInd w:val="0"/>
              <w:snapToGrid w:val="0"/>
              <w:spacing w:line="360" w:lineRule="auto"/>
              <w:rPr>
                <w:rFonts w:hint="eastAsia" w:ascii="宋体" w:hAnsi="宋体" w:cs="宋体"/>
              </w:rPr>
            </w:pPr>
            <w:r>
              <w:rPr>
                <w:rFonts w:hint="eastAsia" w:ascii="宋体" w:hAnsi="宋体" w:cs="宋体"/>
              </w:rPr>
              <w:t>20665</w:t>
            </w:r>
          </w:p>
        </w:tc>
        <w:tc>
          <w:tcPr>
            <w:tcW w:w="788" w:type="dxa"/>
          </w:tcPr>
          <w:p>
            <w:pPr>
              <w:adjustRightInd w:val="0"/>
              <w:snapToGrid w:val="0"/>
              <w:spacing w:line="360" w:lineRule="auto"/>
              <w:rPr>
                <w:rFonts w:hint="eastAsia" w:ascii="宋体" w:hAnsi="宋体" w:cs="宋体"/>
              </w:rPr>
            </w:pPr>
            <w:r>
              <w:rPr>
                <w:rFonts w:hint="eastAsia" w:ascii="宋体" w:hAnsi="宋体" w:cs="宋体"/>
              </w:rPr>
              <w:t>20308</w:t>
            </w:r>
          </w:p>
        </w:tc>
        <w:tc>
          <w:tcPr>
            <w:tcW w:w="1109" w:type="dxa"/>
          </w:tcPr>
          <w:p>
            <w:pPr>
              <w:adjustRightInd w:val="0"/>
              <w:snapToGrid w:val="0"/>
              <w:spacing w:line="360" w:lineRule="auto"/>
              <w:rPr>
                <w:rFonts w:hint="eastAsia" w:ascii="宋体" w:hAnsi="宋体" w:cs="宋体"/>
              </w:rPr>
            </w:pPr>
            <w:r>
              <w:rPr>
                <w:rFonts w:hint="eastAsia" w:ascii="宋体" w:hAnsi="宋体" w:cs="宋体"/>
              </w:rPr>
              <w:t>7711</w:t>
            </w:r>
          </w:p>
        </w:tc>
        <w:tc>
          <w:tcPr>
            <w:tcW w:w="915" w:type="dxa"/>
          </w:tcPr>
          <w:p>
            <w:pPr>
              <w:adjustRightInd w:val="0"/>
              <w:snapToGrid w:val="0"/>
              <w:spacing w:line="360" w:lineRule="auto"/>
              <w:rPr>
                <w:rFonts w:hint="eastAsia" w:ascii="宋体" w:hAnsi="宋体" w:cs="宋体"/>
              </w:rPr>
            </w:pPr>
            <w:r>
              <w:rPr>
                <w:rFonts w:hint="eastAsia" w:ascii="宋体" w:hAnsi="宋体" w:cs="宋体"/>
              </w:rPr>
              <w:t>177493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1042"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危驾</w:t>
            </w:r>
          </w:p>
        </w:tc>
        <w:tc>
          <w:tcPr>
            <w:tcW w:w="788"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202</w:t>
            </w:r>
          </w:p>
        </w:tc>
        <w:tc>
          <w:tcPr>
            <w:tcW w:w="788"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508</w:t>
            </w:r>
          </w:p>
        </w:tc>
        <w:tc>
          <w:tcPr>
            <w:tcW w:w="787"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836</w:t>
            </w:r>
          </w:p>
        </w:tc>
        <w:tc>
          <w:tcPr>
            <w:tcW w:w="788"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1293</w:t>
            </w:r>
          </w:p>
        </w:tc>
        <w:tc>
          <w:tcPr>
            <w:tcW w:w="788"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1900</w:t>
            </w:r>
          </w:p>
        </w:tc>
        <w:tc>
          <w:tcPr>
            <w:tcW w:w="788" w:type="dxa"/>
          </w:tcPr>
          <w:p>
            <w:pPr>
              <w:adjustRightInd w:val="0"/>
              <w:snapToGrid w:val="0"/>
              <w:spacing w:line="360" w:lineRule="auto"/>
              <w:ind w:firstLine="422" w:firstLineChars="200"/>
              <w:rPr>
                <w:rFonts w:hint="eastAsia" w:ascii="宋体" w:hAnsi="宋体" w:cs="宋体"/>
              </w:rPr>
            </w:pPr>
            <w:r>
              <w:rPr>
                <w:rFonts w:hint="eastAsia" w:ascii="宋体" w:hAnsi="宋体" w:cs="宋体"/>
                <w:b/>
                <w:bCs/>
              </w:rPr>
              <w:t>4444</w:t>
            </w:r>
          </w:p>
        </w:tc>
        <w:tc>
          <w:tcPr>
            <w:tcW w:w="788"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4783</w:t>
            </w:r>
          </w:p>
        </w:tc>
        <w:tc>
          <w:tcPr>
            <w:tcW w:w="788"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5172</w:t>
            </w:r>
          </w:p>
        </w:tc>
        <w:tc>
          <w:tcPr>
            <w:tcW w:w="788"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5704</w:t>
            </w:r>
          </w:p>
        </w:tc>
        <w:tc>
          <w:tcPr>
            <w:tcW w:w="1109"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2562</w:t>
            </w:r>
          </w:p>
        </w:tc>
        <w:tc>
          <w:tcPr>
            <w:tcW w:w="915"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27404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1042" w:type="dxa"/>
          </w:tcPr>
          <w:p>
            <w:pPr>
              <w:adjustRightInd w:val="0"/>
              <w:snapToGrid w:val="0"/>
              <w:spacing w:line="360" w:lineRule="auto"/>
              <w:ind w:firstLine="422" w:firstLineChars="200"/>
              <w:rPr>
                <w:rFonts w:hint="eastAsia" w:ascii="宋体" w:hAnsi="宋体" w:cs="宋体"/>
                <w:b/>
                <w:bCs/>
              </w:rPr>
            </w:pPr>
            <w:r>
              <w:rPr>
                <w:rFonts w:hint="eastAsia" w:ascii="宋体" w:hAnsi="宋体" w:cs="宋体"/>
                <w:b/>
                <w:bCs/>
              </w:rPr>
              <w:t>占比</w:t>
            </w:r>
          </w:p>
        </w:tc>
        <w:tc>
          <w:tcPr>
            <w:tcW w:w="788" w:type="dxa"/>
          </w:tcPr>
          <w:p>
            <w:pPr>
              <w:adjustRightInd w:val="0"/>
              <w:snapToGrid w:val="0"/>
              <w:spacing w:line="360" w:lineRule="auto"/>
              <w:ind w:firstLine="422" w:firstLineChars="200"/>
              <w:rPr>
                <w:rFonts w:hint="eastAsia" w:ascii="宋体" w:hAnsi="宋体" w:cs="宋体"/>
                <w:b/>
                <w:bCs/>
              </w:rPr>
            </w:pPr>
            <w:r>
              <w:rPr>
                <w:rFonts w:hint="eastAsia" w:ascii="宋体" w:hAnsi="宋体" w:cs="宋体"/>
                <w:b/>
                <w:bCs/>
              </w:rPr>
              <w:t>1.65</w:t>
            </w:r>
          </w:p>
        </w:tc>
        <w:tc>
          <w:tcPr>
            <w:tcW w:w="788" w:type="dxa"/>
          </w:tcPr>
          <w:p>
            <w:pPr>
              <w:adjustRightInd w:val="0"/>
              <w:snapToGrid w:val="0"/>
              <w:spacing w:line="360" w:lineRule="auto"/>
              <w:ind w:firstLine="422" w:firstLineChars="200"/>
              <w:rPr>
                <w:rFonts w:hint="eastAsia" w:ascii="宋体" w:hAnsi="宋体" w:cs="宋体"/>
                <w:b/>
                <w:bCs/>
              </w:rPr>
            </w:pPr>
            <w:r>
              <w:rPr>
                <w:rFonts w:hint="eastAsia" w:ascii="宋体" w:hAnsi="宋体" w:cs="宋体"/>
                <w:b/>
                <w:bCs/>
              </w:rPr>
              <w:t>3.09</w:t>
            </w:r>
          </w:p>
        </w:tc>
        <w:tc>
          <w:tcPr>
            <w:tcW w:w="787" w:type="dxa"/>
          </w:tcPr>
          <w:p>
            <w:pPr>
              <w:adjustRightInd w:val="0"/>
              <w:snapToGrid w:val="0"/>
              <w:spacing w:line="360" w:lineRule="auto"/>
              <w:ind w:firstLine="422" w:firstLineChars="200"/>
              <w:rPr>
                <w:rFonts w:hint="eastAsia" w:ascii="宋体" w:hAnsi="宋体" w:cs="宋体"/>
                <w:b/>
                <w:bCs/>
              </w:rPr>
            </w:pPr>
            <w:r>
              <w:rPr>
                <w:rFonts w:hint="eastAsia" w:ascii="宋体" w:hAnsi="宋体" w:cs="宋体"/>
                <w:b/>
                <w:bCs/>
              </w:rPr>
              <w:t>4.76</w:t>
            </w:r>
          </w:p>
        </w:tc>
        <w:tc>
          <w:tcPr>
            <w:tcW w:w="788" w:type="dxa"/>
          </w:tcPr>
          <w:p>
            <w:pPr>
              <w:adjustRightInd w:val="0"/>
              <w:snapToGrid w:val="0"/>
              <w:spacing w:line="360" w:lineRule="auto"/>
              <w:ind w:firstLine="422" w:firstLineChars="200"/>
              <w:rPr>
                <w:rFonts w:hint="eastAsia" w:ascii="宋体" w:hAnsi="宋体" w:cs="宋体"/>
                <w:b/>
                <w:bCs/>
              </w:rPr>
            </w:pPr>
            <w:r>
              <w:rPr>
                <w:rFonts w:hint="eastAsia" w:ascii="宋体" w:hAnsi="宋体" w:cs="宋体"/>
                <w:b/>
                <w:bCs/>
              </w:rPr>
              <w:t>6.90</w:t>
            </w:r>
          </w:p>
        </w:tc>
        <w:tc>
          <w:tcPr>
            <w:tcW w:w="788" w:type="dxa"/>
          </w:tcPr>
          <w:p>
            <w:pPr>
              <w:adjustRightInd w:val="0"/>
              <w:snapToGrid w:val="0"/>
              <w:spacing w:line="360" w:lineRule="auto"/>
              <w:ind w:firstLine="422" w:firstLineChars="200"/>
              <w:rPr>
                <w:rFonts w:hint="eastAsia" w:ascii="宋体" w:hAnsi="宋体" w:cs="宋体"/>
                <w:b/>
                <w:bCs/>
              </w:rPr>
            </w:pPr>
            <w:r>
              <w:rPr>
                <w:rFonts w:hint="eastAsia" w:ascii="宋体" w:hAnsi="宋体" w:cs="宋体"/>
                <w:b/>
                <w:bCs/>
              </w:rPr>
              <w:t>8.80</w:t>
            </w:r>
          </w:p>
        </w:tc>
        <w:tc>
          <w:tcPr>
            <w:tcW w:w="788" w:type="dxa"/>
          </w:tcPr>
          <w:p>
            <w:pPr>
              <w:adjustRightInd w:val="0"/>
              <w:snapToGrid w:val="0"/>
              <w:spacing w:line="360" w:lineRule="auto"/>
              <w:ind w:firstLine="422" w:firstLineChars="200"/>
              <w:rPr>
                <w:rFonts w:hint="eastAsia" w:ascii="宋体" w:hAnsi="宋体" w:cs="宋体"/>
                <w:b/>
                <w:bCs/>
              </w:rPr>
            </w:pPr>
            <w:r>
              <w:rPr>
                <w:rFonts w:hint="eastAsia" w:ascii="宋体" w:hAnsi="宋体" w:cs="宋体"/>
                <w:b/>
                <w:bCs/>
              </w:rPr>
              <w:t>21.15</w:t>
            </w:r>
          </w:p>
        </w:tc>
        <w:tc>
          <w:tcPr>
            <w:tcW w:w="788" w:type="dxa"/>
          </w:tcPr>
          <w:p>
            <w:pPr>
              <w:adjustRightInd w:val="0"/>
              <w:snapToGrid w:val="0"/>
              <w:spacing w:line="360" w:lineRule="auto"/>
              <w:ind w:firstLine="422" w:firstLineChars="200"/>
              <w:rPr>
                <w:rFonts w:hint="eastAsia" w:ascii="宋体" w:hAnsi="宋体" w:cs="宋体"/>
                <w:b/>
                <w:bCs/>
              </w:rPr>
            </w:pPr>
            <w:r>
              <w:rPr>
                <w:rFonts w:hint="eastAsia" w:ascii="宋体" w:hAnsi="宋体" w:cs="宋体"/>
                <w:b/>
                <w:bCs/>
              </w:rPr>
              <w:t>22.56</w:t>
            </w:r>
          </w:p>
        </w:tc>
        <w:tc>
          <w:tcPr>
            <w:tcW w:w="788" w:type="dxa"/>
          </w:tcPr>
          <w:p>
            <w:pPr>
              <w:adjustRightInd w:val="0"/>
              <w:snapToGrid w:val="0"/>
              <w:spacing w:line="360" w:lineRule="auto"/>
              <w:ind w:firstLine="422" w:firstLineChars="200"/>
              <w:rPr>
                <w:rFonts w:hint="eastAsia" w:ascii="宋体" w:hAnsi="宋体" w:cs="宋体"/>
                <w:b/>
                <w:bCs/>
              </w:rPr>
            </w:pPr>
            <w:r>
              <w:rPr>
                <w:rFonts w:hint="eastAsia" w:ascii="宋体" w:hAnsi="宋体" w:cs="宋体"/>
                <w:b/>
                <w:bCs/>
              </w:rPr>
              <w:t>25.03</w:t>
            </w:r>
          </w:p>
        </w:tc>
        <w:tc>
          <w:tcPr>
            <w:tcW w:w="788" w:type="dxa"/>
          </w:tcPr>
          <w:p>
            <w:pPr>
              <w:adjustRightInd w:val="0"/>
              <w:snapToGrid w:val="0"/>
              <w:spacing w:line="360" w:lineRule="auto"/>
              <w:ind w:firstLine="422" w:firstLineChars="200"/>
              <w:rPr>
                <w:rFonts w:hint="eastAsia" w:ascii="宋体" w:hAnsi="宋体" w:cs="宋体"/>
                <w:b/>
                <w:bCs/>
              </w:rPr>
            </w:pPr>
            <w:r>
              <w:rPr>
                <w:rFonts w:hint="eastAsia" w:ascii="宋体" w:hAnsi="宋体" w:cs="宋体"/>
                <w:b/>
                <w:bCs/>
              </w:rPr>
              <w:t>28.09</w:t>
            </w:r>
          </w:p>
        </w:tc>
        <w:tc>
          <w:tcPr>
            <w:tcW w:w="1109" w:type="dxa"/>
          </w:tcPr>
          <w:p>
            <w:pPr>
              <w:adjustRightInd w:val="0"/>
              <w:snapToGrid w:val="0"/>
              <w:spacing w:line="360" w:lineRule="auto"/>
              <w:ind w:firstLine="422" w:firstLineChars="200"/>
              <w:rPr>
                <w:rFonts w:hint="eastAsia" w:ascii="宋体" w:hAnsi="宋体" w:cs="宋体"/>
                <w:b/>
                <w:bCs/>
              </w:rPr>
            </w:pPr>
            <w:r>
              <w:rPr>
                <w:rFonts w:hint="eastAsia" w:ascii="宋体" w:hAnsi="宋体" w:cs="宋体"/>
                <w:b/>
                <w:bCs/>
              </w:rPr>
              <w:t>33.23</w:t>
            </w:r>
          </w:p>
        </w:tc>
        <w:tc>
          <w:tcPr>
            <w:tcW w:w="915" w:type="dxa"/>
          </w:tcPr>
          <w:p>
            <w:pPr>
              <w:adjustRightInd w:val="0"/>
              <w:snapToGrid w:val="0"/>
              <w:spacing w:line="360" w:lineRule="auto"/>
              <w:ind w:firstLine="422" w:firstLineChars="200"/>
              <w:rPr>
                <w:rFonts w:hint="eastAsia" w:ascii="宋体" w:hAnsi="宋体" w:cs="宋体"/>
                <w:b/>
                <w:bCs/>
              </w:rPr>
            </w:pPr>
            <w:r>
              <w:rPr>
                <w:rFonts w:hint="eastAsia" w:ascii="宋体" w:hAnsi="宋体" w:cs="宋体"/>
                <w:b/>
                <w:bCs/>
              </w:rPr>
              <w:t>15.44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1042"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盗窃</w:t>
            </w:r>
          </w:p>
        </w:tc>
        <w:tc>
          <w:tcPr>
            <w:tcW w:w="788"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2817</w:t>
            </w:r>
          </w:p>
        </w:tc>
        <w:tc>
          <w:tcPr>
            <w:tcW w:w="788"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3593</w:t>
            </w:r>
          </w:p>
        </w:tc>
        <w:tc>
          <w:tcPr>
            <w:tcW w:w="787"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3805</w:t>
            </w:r>
          </w:p>
        </w:tc>
        <w:tc>
          <w:tcPr>
            <w:tcW w:w="788"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3768</w:t>
            </w:r>
          </w:p>
        </w:tc>
        <w:tc>
          <w:tcPr>
            <w:tcW w:w="788"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4106</w:t>
            </w:r>
          </w:p>
        </w:tc>
        <w:tc>
          <w:tcPr>
            <w:tcW w:w="788"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3909</w:t>
            </w:r>
          </w:p>
        </w:tc>
        <w:tc>
          <w:tcPr>
            <w:tcW w:w="788"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4205</w:t>
            </w:r>
          </w:p>
        </w:tc>
        <w:tc>
          <w:tcPr>
            <w:tcW w:w="788"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3821</w:t>
            </w:r>
          </w:p>
        </w:tc>
        <w:tc>
          <w:tcPr>
            <w:tcW w:w="788"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3730</w:t>
            </w:r>
          </w:p>
        </w:tc>
        <w:tc>
          <w:tcPr>
            <w:tcW w:w="1109"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1353</w:t>
            </w:r>
          </w:p>
        </w:tc>
        <w:tc>
          <w:tcPr>
            <w:tcW w:w="915"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35107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jc w:val="center"/>
        </w:trPr>
        <w:tc>
          <w:tcPr>
            <w:tcW w:w="1042"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占比</w:t>
            </w:r>
          </w:p>
        </w:tc>
        <w:tc>
          <w:tcPr>
            <w:tcW w:w="788"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23.02</w:t>
            </w:r>
          </w:p>
        </w:tc>
        <w:tc>
          <w:tcPr>
            <w:tcW w:w="788"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21.82</w:t>
            </w:r>
          </w:p>
        </w:tc>
        <w:tc>
          <w:tcPr>
            <w:tcW w:w="787"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21.66</w:t>
            </w:r>
          </w:p>
        </w:tc>
        <w:tc>
          <w:tcPr>
            <w:tcW w:w="788" w:type="dxa"/>
            <w:vAlign w:val="center"/>
          </w:tcPr>
          <w:p>
            <w:pPr>
              <w:adjustRightInd w:val="0"/>
              <w:snapToGrid w:val="0"/>
              <w:spacing w:line="360" w:lineRule="auto"/>
              <w:ind w:firstLine="420" w:firstLineChars="200"/>
              <w:rPr>
                <w:rFonts w:hint="eastAsia" w:ascii="宋体" w:hAnsi="宋体" w:cs="宋体"/>
              </w:rPr>
            </w:pPr>
            <w:r>
              <w:rPr>
                <w:rFonts w:hint="eastAsia" w:ascii="宋体" w:hAnsi="宋体" w:cs="宋体"/>
              </w:rPr>
              <w:t>20.12</w:t>
            </w:r>
          </w:p>
        </w:tc>
        <w:tc>
          <w:tcPr>
            <w:tcW w:w="788" w:type="dxa"/>
            <w:vAlign w:val="center"/>
          </w:tcPr>
          <w:p>
            <w:pPr>
              <w:adjustRightInd w:val="0"/>
              <w:snapToGrid w:val="0"/>
              <w:spacing w:line="360" w:lineRule="auto"/>
              <w:ind w:firstLine="420" w:firstLineChars="200"/>
              <w:rPr>
                <w:rFonts w:hint="eastAsia" w:ascii="宋体" w:hAnsi="宋体" w:cs="宋体"/>
              </w:rPr>
            </w:pPr>
            <w:r>
              <w:rPr>
                <w:rFonts w:hint="eastAsia" w:ascii="宋体" w:hAnsi="宋体" w:cs="宋体"/>
              </w:rPr>
              <w:t>19.01</w:t>
            </w:r>
          </w:p>
        </w:tc>
        <w:tc>
          <w:tcPr>
            <w:tcW w:w="788"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18.60</w:t>
            </w:r>
          </w:p>
        </w:tc>
        <w:tc>
          <w:tcPr>
            <w:tcW w:w="788" w:type="dxa"/>
            <w:vAlign w:val="center"/>
          </w:tcPr>
          <w:p>
            <w:pPr>
              <w:adjustRightInd w:val="0"/>
              <w:snapToGrid w:val="0"/>
              <w:spacing w:line="360" w:lineRule="auto"/>
              <w:ind w:firstLine="420" w:firstLineChars="200"/>
              <w:rPr>
                <w:rFonts w:hint="eastAsia" w:ascii="宋体" w:hAnsi="宋体" w:cs="宋体"/>
              </w:rPr>
            </w:pPr>
            <w:r>
              <w:rPr>
                <w:rFonts w:hint="eastAsia" w:ascii="宋体" w:hAnsi="宋体" w:cs="宋体"/>
              </w:rPr>
              <w:t>19.83</w:t>
            </w:r>
          </w:p>
        </w:tc>
        <w:tc>
          <w:tcPr>
            <w:tcW w:w="788"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18.49</w:t>
            </w:r>
          </w:p>
        </w:tc>
        <w:tc>
          <w:tcPr>
            <w:tcW w:w="788"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18.37</w:t>
            </w:r>
          </w:p>
        </w:tc>
        <w:tc>
          <w:tcPr>
            <w:tcW w:w="1109"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17.55</w:t>
            </w:r>
          </w:p>
        </w:tc>
        <w:tc>
          <w:tcPr>
            <w:tcW w:w="915"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19.78</w:t>
            </w:r>
          </w:p>
        </w:tc>
      </w:tr>
    </w:tbl>
    <w:p>
      <w:pPr>
        <w:adjustRightInd w:val="0"/>
        <w:snapToGrid w:val="0"/>
        <w:spacing w:line="360" w:lineRule="auto"/>
        <w:ind w:firstLine="420" w:firstLineChars="200"/>
        <w:rPr>
          <w:rFonts w:hint="eastAsia" w:ascii="宋体" w:hAnsi="宋体" w:cs="宋体"/>
        </w:rPr>
      </w:pPr>
      <w:r>
        <w:rPr>
          <w:rFonts w:hint="eastAsia" w:ascii="宋体" w:hAnsi="宋体" w:cs="宋体"/>
        </w:rPr>
        <w:t>表2:顺德区办理醉驾案件数（人数）与相关案件数对比表</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47"/>
        <w:gridCol w:w="838"/>
        <w:gridCol w:w="851"/>
        <w:gridCol w:w="850"/>
        <w:gridCol w:w="851"/>
        <w:gridCol w:w="850"/>
        <w:gridCol w:w="851"/>
        <w:gridCol w:w="850"/>
        <w:gridCol w:w="851"/>
        <w:gridCol w:w="850"/>
        <w:gridCol w:w="1086"/>
        <w:gridCol w:w="8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1147" w:type="dxa"/>
          </w:tcPr>
          <w:p>
            <w:pPr>
              <w:adjustRightInd w:val="0"/>
              <w:snapToGrid w:val="0"/>
              <w:spacing w:line="360" w:lineRule="auto"/>
              <w:ind w:firstLine="422" w:firstLineChars="200"/>
              <w:rPr>
                <w:rFonts w:hint="eastAsia" w:ascii="宋体" w:hAnsi="宋体" w:cs="宋体"/>
                <w:b/>
                <w:bCs/>
              </w:rPr>
            </w:pPr>
            <w:r>
              <w:rPr>
                <w:rFonts w:hint="eastAsia" w:ascii="宋体" w:hAnsi="宋体" w:cs="宋体"/>
                <w:b/>
                <w:bCs/>
              </w:rPr>
              <w:t>年度</w:t>
            </w:r>
          </w:p>
        </w:tc>
        <w:tc>
          <w:tcPr>
            <w:tcW w:w="838" w:type="dxa"/>
          </w:tcPr>
          <w:p>
            <w:pPr>
              <w:adjustRightInd w:val="0"/>
              <w:snapToGrid w:val="0"/>
              <w:spacing w:line="360" w:lineRule="auto"/>
              <w:ind w:firstLine="422" w:firstLineChars="200"/>
              <w:rPr>
                <w:rFonts w:hint="eastAsia" w:ascii="宋体" w:hAnsi="宋体" w:cs="宋体"/>
                <w:b/>
                <w:bCs/>
              </w:rPr>
            </w:pPr>
          </w:p>
        </w:tc>
        <w:tc>
          <w:tcPr>
            <w:tcW w:w="851" w:type="dxa"/>
          </w:tcPr>
          <w:p>
            <w:pPr>
              <w:adjustRightInd w:val="0"/>
              <w:snapToGrid w:val="0"/>
              <w:spacing w:line="360" w:lineRule="auto"/>
              <w:ind w:firstLine="422" w:firstLineChars="200"/>
              <w:rPr>
                <w:rFonts w:hint="eastAsia" w:ascii="宋体" w:hAnsi="宋体" w:cs="宋体"/>
                <w:b/>
                <w:bCs/>
              </w:rPr>
            </w:pPr>
            <w:r>
              <w:rPr>
                <w:rFonts w:hint="eastAsia" w:ascii="宋体" w:hAnsi="宋体" w:cs="宋体"/>
                <w:b/>
                <w:bCs/>
              </w:rPr>
              <w:t>2012</w:t>
            </w:r>
          </w:p>
        </w:tc>
        <w:tc>
          <w:tcPr>
            <w:tcW w:w="850" w:type="dxa"/>
          </w:tcPr>
          <w:p>
            <w:pPr>
              <w:adjustRightInd w:val="0"/>
              <w:snapToGrid w:val="0"/>
              <w:spacing w:line="360" w:lineRule="auto"/>
              <w:ind w:firstLine="422" w:firstLineChars="200"/>
              <w:rPr>
                <w:rFonts w:hint="eastAsia" w:ascii="宋体" w:hAnsi="宋体" w:cs="宋体"/>
                <w:b/>
                <w:bCs/>
              </w:rPr>
            </w:pPr>
            <w:r>
              <w:rPr>
                <w:rFonts w:hint="eastAsia" w:ascii="宋体" w:hAnsi="宋体" w:cs="宋体"/>
                <w:b/>
                <w:bCs/>
              </w:rPr>
              <w:t>2013</w:t>
            </w:r>
          </w:p>
        </w:tc>
        <w:tc>
          <w:tcPr>
            <w:tcW w:w="851" w:type="dxa"/>
          </w:tcPr>
          <w:p>
            <w:pPr>
              <w:adjustRightInd w:val="0"/>
              <w:snapToGrid w:val="0"/>
              <w:spacing w:line="360" w:lineRule="auto"/>
              <w:ind w:firstLine="422" w:firstLineChars="200"/>
              <w:rPr>
                <w:rFonts w:hint="eastAsia" w:ascii="宋体" w:hAnsi="宋体" w:cs="宋体"/>
                <w:b/>
                <w:bCs/>
              </w:rPr>
            </w:pPr>
            <w:r>
              <w:rPr>
                <w:rFonts w:hint="eastAsia" w:ascii="宋体" w:hAnsi="宋体" w:cs="宋体"/>
                <w:b/>
                <w:bCs/>
              </w:rPr>
              <w:t>2014</w:t>
            </w:r>
          </w:p>
        </w:tc>
        <w:tc>
          <w:tcPr>
            <w:tcW w:w="850" w:type="dxa"/>
          </w:tcPr>
          <w:p>
            <w:pPr>
              <w:adjustRightInd w:val="0"/>
              <w:snapToGrid w:val="0"/>
              <w:spacing w:line="360" w:lineRule="auto"/>
              <w:ind w:firstLine="422" w:firstLineChars="200"/>
              <w:rPr>
                <w:rFonts w:hint="eastAsia" w:ascii="宋体" w:hAnsi="宋体" w:cs="宋体"/>
                <w:b/>
                <w:bCs/>
              </w:rPr>
            </w:pPr>
            <w:r>
              <w:rPr>
                <w:rFonts w:hint="eastAsia" w:ascii="宋体" w:hAnsi="宋体" w:cs="宋体"/>
                <w:b/>
                <w:bCs/>
              </w:rPr>
              <w:t>2015</w:t>
            </w:r>
          </w:p>
        </w:tc>
        <w:tc>
          <w:tcPr>
            <w:tcW w:w="851" w:type="dxa"/>
          </w:tcPr>
          <w:p>
            <w:pPr>
              <w:adjustRightInd w:val="0"/>
              <w:snapToGrid w:val="0"/>
              <w:spacing w:line="360" w:lineRule="auto"/>
              <w:ind w:firstLine="422" w:firstLineChars="200"/>
              <w:rPr>
                <w:rFonts w:hint="eastAsia" w:ascii="宋体" w:hAnsi="宋体" w:cs="宋体"/>
                <w:b/>
                <w:bCs/>
              </w:rPr>
            </w:pPr>
            <w:r>
              <w:rPr>
                <w:rFonts w:hint="eastAsia" w:ascii="宋体" w:hAnsi="宋体" w:cs="宋体"/>
                <w:b/>
                <w:bCs/>
              </w:rPr>
              <w:t>2016</w:t>
            </w:r>
          </w:p>
        </w:tc>
        <w:tc>
          <w:tcPr>
            <w:tcW w:w="850" w:type="dxa"/>
          </w:tcPr>
          <w:p>
            <w:pPr>
              <w:adjustRightInd w:val="0"/>
              <w:snapToGrid w:val="0"/>
              <w:spacing w:line="360" w:lineRule="auto"/>
              <w:ind w:firstLine="422" w:firstLineChars="200"/>
              <w:rPr>
                <w:rFonts w:hint="eastAsia" w:ascii="宋体" w:hAnsi="宋体" w:cs="宋体"/>
                <w:b/>
                <w:bCs/>
              </w:rPr>
            </w:pPr>
            <w:r>
              <w:rPr>
                <w:rFonts w:hint="eastAsia" w:ascii="宋体" w:hAnsi="宋体" w:cs="宋体"/>
                <w:b/>
                <w:bCs/>
              </w:rPr>
              <w:t>2017</w:t>
            </w:r>
          </w:p>
        </w:tc>
        <w:tc>
          <w:tcPr>
            <w:tcW w:w="851" w:type="dxa"/>
          </w:tcPr>
          <w:p>
            <w:pPr>
              <w:adjustRightInd w:val="0"/>
              <w:snapToGrid w:val="0"/>
              <w:spacing w:line="360" w:lineRule="auto"/>
              <w:ind w:firstLine="422" w:firstLineChars="200"/>
              <w:rPr>
                <w:rFonts w:hint="eastAsia" w:ascii="宋体" w:hAnsi="宋体" w:cs="宋体"/>
                <w:b/>
                <w:bCs/>
              </w:rPr>
            </w:pPr>
            <w:r>
              <w:rPr>
                <w:rFonts w:hint="eastAsia" w:ascii="宋体" w:hAnsi="宋体" w:cs="宋体"/>
                <w:b/>
                <w:bCs/>
              </w:rPr>
              <w:t>2018</w:t>
            </w:r>
          </w:p>
        </w:tc>
        <w:tc>
          <w:tcPr>
            <w:tcW w:w="850" w:type="dxa"/>
          </w:tcPr>
          <w:p>
            <w:pPr>
              <w:adjustRightInd w:val="0"/>
              <w:snapToGrid w:val="0"/>
              <w:spacing w:line="360" w:lineRule="auto"/>
              <w:ind w:firstLine="422" w:firstLineChars="200"/>
              <w:rPr>
                <w:rFonts w:hint="eastAsia" w:ascii="宋体" w:hAnsi="宋体" w:cs="宋体"/>
                <w:b/>
                <w:bCs/>
              </w:rPr>
            </w:pPr>
            <w:r>
              <w:rPr>
                <w:rFonts w:hint="eastAsia" w:ascii="宋体" w:hAnsi="宋体" w:cs="宋体"/>
                <w:b/>
                <w:bCs/>
              </w:rPr>
              <w:t>2019</w:t>
            </w:r>
          </w:p>
        </w:tc>
        <w:tc>
          <w:tcPr>
            <w:tcW w:w="1086" w:type="dxa"/>
          </w:tcPr>
          <w:p>
            <w:pPr>
              <w:adjustRightInd w:val="0"/>
              <w:snapToGrid w:val="0"/>
              <w:spacing w:line="360" w:lineRule="auto"/>
              <w:ind w:firstLine="422" w:firstLineChars="200"/>
              <w:rPr>
                <w:rFonts w:hint="eastAsia" w:ascii="宋体" w:hAnsi="宋体" w:cs="宋体"/>
                <w:b/>
                <w:bCs/>
              </w:rPr>
            </w:pPr>
            <w:r>
              <w:rPr>
                <w:rFonts w:hint="eastAsia" w:ascii="宋体" w:hAnsi="宋体" w:cs="宋体"/>
                <w:b/>
                <w:bCs/>
              </w:rPr>
              <w:t>2020</w:t>
            </w:r>
            <w:r>
              <w:rPr>
                <w:rFonts w:hint="eastAsia" w:ascii="宋体" w:hAnsi="宋体" w:cs="宋体"/>
              </w:rPr>
              <w:t>上半年</w:t>
            </w:r>
          </w:p>
        </w:tc>
        <w:tc>
          <w:tcPr>
            <w:tcW w:w="852" w:type="dxa"/>
          </w:tcPr>
          <w:p>
            <w:pPr>
              <w:adjustRightInd w:val="0"/>
              <w:snapToGrid w:val="0"/>
              <w:spacing w:line="360" w:lineRule="auto"/>
              <w:ind w:firstLine="422" w:firstLineChars="200"/>
              <w:rPr>
                <w:rFonts w:hint="eastAsia" w:ascii="宋体" w:hAnsi="宋体" w:cs="宋体"/>
                <w:b/>
                <w:bCs/>
              </w:rPr>
            </w:pPr>
            <w:r>
              <w:rPr>
                <w:rFonts w:hint="eastAsia" w:ascii="宋体" w:hAnsi="宋体" w:cs="宋体"/>
                <w:b/>
                <w:bCs/>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1147"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总数</w:t>
            </w:r>
          </w:p>
        </w:tc>
        <w:tc>
          <w:tcPr>
            <w:tcW w:w="838"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3710</w:t>
            </w:r>
            <w:r>
              <w:rPr>
                <w:rFonts w:hint="eastAsia" w:ascii="宋体" w:hAnsi="宋体" w:cs="宋体"/>
                <w:b/>
                <w:bCs/>
              </w:rPr>
              <w:t>2011</w:t>
            </w:r>
          </w:p>
        </w:tc>
        <w:tc>
          <w:tcPr>
            <w:tcW w:w="851"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4968</w:t>
            </w:r>
          </w:p>
        </w:tc>
        <w:tc>
          <w:tcPr>
            <w:tcW w:w="850"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5809</w:t>
            </w:r>
          </w:p>
        </w:tc>
        <w:tc>
          <w:tcPr>
            <w:tcW w:w="851"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6409</w:t>
            </w:r>
          </w:p>
        </w:tc>
        <w:tc>
          <w:tcPr>
            <w:tcW w:w="850"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7723</w:t>
            </w:r>
          </w:p>
        </w:tc>
        <w:tc>
          <w:tcPr>
            <w:tcW w:w="851"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7198</w:t>
            </w:r>
          </w:p>
        </w:tc>
        <w:tc>
          <w:tcPr>
            <w:tcW w:w="850"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6859</w:t>
            </w:r>
          </w:p>
        </w:tc>
        <w:tc>
          <w:tcPr>
            <w:tcW w:w="851"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6885</w:t>
            </w:r>
          </w:p>
        </w:tc>
        <w:tc>
          <w:tcPr>
            <w:tcW w:w="850"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6433</w:t>
            </w:r>
          </w:p>
        </w:tc>
        <w:tc>
          <w:tcPr>
            <w:tcW w:w="1086"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2362</w:t>
            </w:r>
          </w:p>
        </w:tc>
        <w:tc>
          <w:tcPr>
            <w:tcW w:w="852"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58356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1147"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危驾</w:t>
            </w:r>
          </w:p>
        </w:tc>
        <w:tc>
          <w:tcPr>
            <w:tcW w:w="838"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100</w:t>
            </w:r>
          </w:p>
        </w:tc>
        <w:tc>
          <w:tcPr>
            <w:tcW w:w="851"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205</w:t>
            </w:r>
          </w:p>
        </w:tc>
        <w:tc>
          <w:tcPr>
            <w:tcW w:w="850"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330</w:t>
            </w:r>
          </w:p>
        </w:tc>
        <w:tc>
          <w:tcPr>
            <w:tcW w:w="851"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565</w:t>
            </w:r>
          </w:p>
        </w:tc>
        <w:tc>
          <w:tcPr>
            <w:tcW w:w="850"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783</w:t>
            </w:r>
          </w:p>
        </w:tc>
        <w:tc>
          <w:tcPr>
            <w:tcW w:w="851" w:type="dxa"/>
          </w:tcPr>
          <w:p>
            <w:pPr>
              <w:adjustRightInd w:val="0"/>
              <w:snapToGrid w:val="0"/>
              <w:spacing w:line="360" w:lineRule="auto"/>
              <w:ind w:firstLine="422" w:firstLineChars="200"/>
              <w:rPr>
                <w:rFonts w:hint="eastAsia" w:ascii="宋体" w:hAnsi="宋体" w:cs="宋体"/>
              </w:rPr>
            </w:pPr>
            <w:r>
              <w:rPr>
                <w:rFonts w:hint="eastAsia" w:ascii="宋体" w:hAnsi="宋体" w:cs="宋体"/>
                <w:b/>
                <w:bCs/>
              </w:rPr>
              <w:t>1857</w:t>
            </w:r>
          </w:p>
        </w:tc>
        <w:tc>
          <w:tcPr>
            <w:tcW w:w="850"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1819</w:t>
            </w:r>
          </w:p>
        </w:tc>
        <w:tc>
          <w:tcPr>
            <w:tcW w:w="851"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1884</w:t>
            </w:r>
          </w:p>
        </w:tc>
        <w:tc>
          <w:tcPr>
            <w:tcW w:w="850"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1830</w:t>
            </w:r>
          </w:p>
        </w:tc>
        <w:tc>
          <w:tcPr>
            <w:tcW w:w="1086"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719</w:t>
            </w:r>
          </w:p>
        </w:tc>
        <w:tc>
          <w:tcPr>
            <w:tcW w:w="852"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10092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jc w:val="center"/>
        </w:trPr>
        <w:tc>
          <w:tcPr>
            <w:tcW w:w="1147"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占比</w:t>
            </w:r>
          </w:p>
        </w:tc>
        <w:tc>
          <w:tcPr>
            <w:tcW w:w="838" w:type="dxa"/>
          </w:tcPr>
          <w:p>
            <w:pPr>
              <w:adjustRightInd w:val="0"/>
              <w:snapToGrid w:val="0"/>
              <w:spacing w:line="360" w:lineRule="auto"/>
              <w:ind w:firstLine="422" w:firstLineChars="200"/>
              <w:rPr>
                <w:rFonts w:hint="eastAsia" w:ascii="宋体" w:hAnsi="宋体" w:cs="宋体"/>
                <w:b/>
                <w:bCs/>
              </w:rPr>
            </w:pPr>
            <w:r>
              <w:rPr>
                <w:rFonts w:hint="eastAsia" w:ascii="宋体" w:hAnsi="宋体" w:cs="宋体"/>
                <w:b/>
                <w:bCs/>
              </w:rPr>
              <w:t>2.70</w:t>
            </w:r>
          </w:p>
        </w:tc>
        <w:tc>
          <w:tcPr>
            <w:tcW w:w="851" w:type="dxa"/>
          </w:tcPr>
          <w:p>
            <w:pPr>
              <w:adjustRightInd w:val="0"/>
              <w:snapToGrid w:val="0"/>
              <w:spacing w:line="360" w:lineRule="auto"/>
              <w:ind w:firstLine="422" w:firstLineChars="200"/>
              <w:rPr>
                <w:rFonts w:hint="eastAsia" w:ascii="宋体" w:hAnsi="宋体" w:cs="宋体"/>
                <w:b/>
                <w:bCs/>
              </w:rPr>
            </w:pPr>
            <w:r>
              <w:rPr>
                <w:rFonts w:hint="eastAsia" w:ascii="宋体" w:hAnsi="宋体" w:cs="宋体"/>
                <w:b/>
                <w:bCs/>
              </w:rPr>
              <w:t>4.13</w:t>
            </w:r>
          </w:p>
        </w:tc>
        <w:tc>
          <w:tcPr>
            <w:tcW w:w="850" w:type="dxa"/>
          </w:tcPr>
          <w:p>
            <w:pPr>
              <w:adjustRightInd w:val="0"/>
              <w:snapToGrid w:val="0"/>
              <w:spacing w:line="360" w:lineRule="auto"/>
              <w:ind w:firstLine="422" w:firstLineChars="200"/>
              <w:rPr>
                <w:rFonts w:hint="eastAsia" w:ascii="宋体" w:hAnsi="宋体" w:cs="宋体"/>
                <w:b/>
                <w:bCs/>
              </w:rPr>
            </w:pPr>
            <w:r>
              <w:rPr>
                <w:rFonts w:hint="eastAsia" w:ascii="宋体" w:hAnsi="宋体" w:cs="宋体"/>
                <w:b/>
                <w:bCs/>
              </w:rPr>
              <w:t>5.68</w:t>
            </w:r>
          </w:p>
        </w:tc>
        <w:tc>
          <w:tcPr>
            <w:tcW w:w="851" w:type="dxa"/>
          </w:tcPr>
          <w:p>
            <w:pPr>
              <w:adjustRightInd w:val="0"/>
              <w:snapToGrid w:val="0"/>
              <w:spacing w:line="360" w:lineRule="auto"/>
              <w:ind w:firstLine="422" w:firstLineChars="200"/>
              <w:rPr>
                <w:rFonts w:hint="eastAsia" w:ascii="宋体" w:hAnsi="宋体" w:cs="宋体"/>
                <w:b/>
                <w:bCs/>
              </w:rPr>
            </w:pPr>
            <w:r>
              <w:rPr>
                <w:rFonts w:hint="eastAsia" w:ascii="宋体" w:hAnsi="宋体" w:cs="宋体"/>
                <w:b/>
                <w:bCs/>
              </w:rPr>
              <w:t>8.82</w:t>
            </w:r>
          </w:p>
        </w:tc>
        <w:tc>
          <w:tcPr>
            <w:tcW w:w="850" w:type="dxa"/>
          </w:tcPr>
          <w:p>
            <w:pPr>
              <w:adjustRightInd w:val="0"/>
              <w:snapToGrid w:val="0"/>
              <w:spacing w:line="360" w:lineRule="auto"/>
              <w:ind w:firstLine="422" w:firstLineChars="200"/>
              <w:rPr>
                <w:rFonts w:hint="eastAsia" w:ascii="宋体" w:hAnsi="宋体" w:cs="宋体"/>
                <w:b/>
                <w:bCs/>
              </w:rPr>
            </w:pPr>
            <w:r>
              <w:rPr>
                <w:rFonts w:hint="eastAsia" w:ascii="宋体" w:hAnsi="宋体" w:cs="宋体"/>
                <w:b/>
                <w:bCs/>
              </w:rPr>
              <w:t>10.14</w:t>
            </w:r>
          </w:p>
        </w:tc>
        <w:tc>
          <w:tcPr>
            <w:tcW w:w="851" w:type="dxa"/>
          </w:tcPr>
          <w:p>
            <w:pPr>
              <w:adjustRightInd w:val="0"/>
              <w:snapToGrid w:val="0"/>
              <w:spacing w:line="360" w:lineRule="auto"/>
              <w:ind w:firstLine="422" w:firstLineChars="200"/>
              <w:rPr>
                <w:rFonts w:hint="eastAsia" w:ascii="宋体" w:hAnsi="宋体" w:cs="宋体"/>
                <w:b/>
                <w:bCs/>
              </w:rPr>
            </w:pPr>
            <w:r>
              <w:rPr>
                <w:rFonts w:hint="eastAsia" w:ascii="宋体" w:hAnsi="宋体" w:cs="宋体"/>
                <w:b/>
                <w:bCs/>
              </w:rPr>
              <w:t>25.80</w:t>
            </w:r>
          </w:p>
        </w:tc>
        <w:tc>
          <w:tcPr>
            <w:tcW w:w="850" w:type="dxa"/>
          </w:tcPr>
          <w:p>
            <w:pPr>
              <w:adjustRightInd w:val="0"/>
              <w:snapToGrid w:val="0"/>
              <w:spacing w:line="360" w:lineRule="auto"/>
              <w:ind w:firstLine="422" w:firstLineChars="200"/>
              <w:rPr>
                <w:rFonts w:hint="eastAsia" w:ascii="宋体" w:hAnsi="宋体" w:cs="宋体"/>
                <w:b/>
                <w:bCs/>
              </w:rPr>
            </w:pPr>
            <w:r>
              <w:rPr>
                <w:rFonts w:hint="eastAsia" w:ascii="宋体" w:hAnsi="宋体" w:cs="宋体"/>
                <w:b/>
                <w:bCs/>
              </w:rPr>
              <w:t>26.52</w:t>
            </w:r>
          </w:p>
        </w:tc>
        <w:tc>
          <w:tcPr>
            <w:tcW w:w="851" w:type="dxa"/>
          </w:tcPr>
          <w:p>
            <w:pPr>
              <w:adjustRightInd w:val="0"/>
              <w:snapToGrid w:val="0"/>
              <w:spacing w:line="360" w:lineRule="auto"/>
              <w:ind w:firstLine="422" w:firstLineChars="200"/>
              <w:rPr>
                <w:rFonts w:hint="eastAsia" w:ascii="宋体" w:hAnsi="宋体" w:cs="宋体"/>
                <w:b/>
                <w:bCs/>
              </w:rPr>
            </w:pPr>
            <w:r>
              <w:rPr>
                <w:rFonts w:hint="eastAsia" w:ascii="宋体" w:hAnsi="宋体" w:cs="宋体"/>
                <w:b/>
                <w:bCs/>
              </w:rPr>
              <w:t>27.36</w:t>
            </w:r>
          </w:p>
        </w:tc>
        <w:tc>
          <w:tcPr>
            <w:tcW w:w="850" w:type="dxa"/>
          </w:tcPr>
          <w:p>
            <w:pPr>
              <w:adjustRightInd w:val="0"/>
              <w:snapToGrid w:val="0"/>
              <w:spacing w:line="360" w:lineRule="auto"/>
              <w:ind w:firstLine="422" w:firstLineChars="200"/>
              <w:rPr>
                <w:rFonts w:hint="eastAsia" w:ascii="宋体" w:hAnsi="宋体" w:cs="宋体"/>
                <w:b/>
                <w:bCs/>
              </w:rPr>
            </w:pPr>
            <w:r>
              <w:rPr>
                <w:rFonts w:hint="eastAsia" w:ascii="宋体" w:hAnsi="宋体" w:cs="宋体"/>
                <w:b/>
                <w:bCs/>
              </w:rPr>
              <w:t>28.45</w:t>
            </w:r>
          </w:p>
        </w:tc>
        <w:tc>
          <w:tcPr>
            <w:tcW w:w="1086" w:type="dxa"/>
          </w:tcPr>
          <w:p>
            <w:pPr>
              <w:adjustRightInd w:val="0"/>
              <w:snapToGrid w:val="0"/>
              <w:spacing w:line="360" w:lineRule="auto"/>
              <w:ind w:firstLine="422" w:firstLineChars="200"/>
              <w:rPr>
                <w:rFonts w:hint="eastAsia" w:ascii="宋体" w:hAnsi="宋体" w:cs="宋体"/>
                <w:b/>
                <w:bCs/>
              </w:rPr>
            </w:pPr>
            <w:r>
              <w:rPr>
                <w:rFonts w:hint="eastAsia" w:ascii="宋体" w:hAnsi="宋体" w:cs="宋体"/>
                <w:b/>
                <w:bCs/>
              </w:rPr>
              <w:t>30.44</w:t>
            </w:r>
          </w:p>
        </w:tc>
        <w:tc>
          <w:tcPr>
            <w:tcW w:w="852" w:type="dxa"/>
          </w:tcPr>
          <w:p>
            <w:pPr>
              <w:adjustRightInd w:val="0"/>
              <w:snapToGrid w:val="0"/>
              <w:spacing w:line="360" w:lineRule="auto"/>
              <w:ind w:firstLine="422" w:firstLineChars="200"/>
              <w:rPr>
                <w:rFonts w:hint="eastAsia" w:ascii="宋体" w:hAnsi="宋体" w:cs="宋体"/>
                <w:b/>
                <w:bCs/>
              </w:rPr>
            </w:pPr>
            <w:r>
              <w:rPr>
                <w:rFonts w:hint="eastAsia" w:ascii="宋体" w:hAnsi="宋体" w:cs="宋体"/>
                <w:b/>
                <w:bCs/>
              </w:rPr>
              <w:t>17.29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1147"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盗窃</w:t>
            </w:r>
          </w:p>
        </w:tc>
        <w:tc>
          <w:tcPr>
            <w:tcW w:w="838"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924</w:t>
            </w:r>
          </w:p>
        </w:tc>
        <w:tc>
          <w:tcPr>
            <w:tcW w:w="851"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1185</w:t>
            </w:r>
          </w:p>
        </w:tc>
        <w:tc>
          <w:tcPr>
            <w:tcW w:w="850"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1365</w:t>
            </w:r>
          </w:p>
        </w:tc>
        <w:tc>
          <w:tcPr>
            <w:tcW w:w="851"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1581</w:t>
            </w:r>
          </w:p>
        </w:tc>
        <w:tc>
          <w:tcPr>
            <w:tcW w:w="850"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1637</w:t>
            </w:r>
          </w:p>
        </w:tc>
        <w:tc>
          <w:tcPr>
            <w:tcW w:w="851"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1513</w:t>
            </w:r>
          </w:p>
        </w:tc>
        <w:tc>
          <w:tcPr>
            <w:tcW w:w="850"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1610</w:t>
            </w:r>
          </w:p>
        </w:tc>
        <w:tc>
          <w:tcPr>
            <w:tcW w:w="851"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1372</w:t>
            </w:r>
          </w:p>
        </w:tc>
        <w:tc>
          <w:tcPr>
            <w:tcW w:w="850"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1390</w:t>
            </w:r>
          </w:p>
        </w:tc>
        <w:tc>
          <w:tcPr>
            <w:tcW w:w="1086"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534</w:t>
            </w:r>
          </w:p>
        </w:tc>
        <w:tc>
          <w:tcPr>
            <w:tcW w:w="852"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13111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jc w:val="center"/>
        </w:trPr>
        <w:tc>
          <w:tcPr>
            <w:tcW w:w="1147"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占比</w:t>
            </w:r>
          </w:p>
        </w:tc>
        <w:tc>
          <w:tcPr>
            <w:tcW w:w="838" w:type="dxa"/>
          </w:tcPr>
          <w:p>
            <w:pPr>
              <w:adjustRightInd w:val="0"/>
              <w:snapToGrid w:val="0"/>
              <w:spacing w:line="360" w:lineRule="auto"/>
              <w:ind w:firstLine="422" w:firstLineChars="200"/>
              <w:rPr>
                <w:rFonts w:hint="eastAsia" w:ascii="宋体" w:hAnsi="宋体" w:cs="宋体"/>
                <w:b/>
                <w:bCs/>
              </w:rPr>
            </w:pPr>
            <w:r>
              <w:rPr>
                <w:rFonts w:hint="eastAsia" w:ascii="宋体" w:hAnsi="宋体" w:cs="宋体"/>
                <w:b/>
                <w:bCs/>
              </w:rPr>
              <w:t>24.90</w:t>
            </w:r>
          </w:p>
        </w:tc>
        <w:tc>
          <w:tcPr>
            <w:tcW w:w="851" w:type="dxa"/>
          </w:tcPr>
          <w:p>
            <w:pPr>
              <w:adjustRightInd w:val="0"/>
              <w:snapToGrid w:val="0"/>
              <w:spacing w:line="360" w:lineRule="auto"/>
              <w:ind w:firstLine="422" w:firstLineChars="200"/>
              <w:rPr>
                <w:rFonts w:hint="eastAsia" w:ascii="宋体" w:hAnsi="宋体" w:cs="宋体"/>
                <w:b/>
                <w:bCs/>
              </w:rPr>
            </w:pPr>
            <w:r>
              <w:rPr>
                <w:rFonts w:hint="eastAsia" w:ascii="宋体" w:hAnsi="宋体" w:cs="宋体"/>
                <w:b/>
                <w:bCs/>
              </w:rPr>
              <w:t>23.85</w:t>
            </w:r>
          </w:p>
        </w:tc>
        <w:tc>
          <w:tcPr>
            <w:tcW w:w="850" w:type="dxa"/>
          </w:tcPr>
          <w:p>
            <w:pPr>
              <w:adjustRightInd w:val="0"/>
              <w:snapToGrid w:val="0"/>
              <w:spacing w:line="360" w:lineRule="auto"/>
              <w:ind w:firstLine="422" w:firstLineChars="200"/>
              <w:rPr>
                <w:rFonts w:hint="eastAsia" w:ascii="宋体" w:hAnsi="宋体" w:cs="宋体"/>
                <w:b/>
                <w:bCs/>
              </w:rPr>
            </w:pPr>
            <w:r>
              <w:rPr>
                <w:rFonts w:hint="eastAsia" w:ascii="宋体" w:hAnsi="宋体" w:cs="宋体"/>
                <w:b/>
                <w:bCs/>
              </w:rPr>
              <w:t>23.50</w:t>
            </w:r>
          </w:p>
        </w:tc>
        <w:tc>
          <w:tcPr>
            <w:tcW w:w="851" w:type="dxa"/>
          </w:tcPr>
          <w:p>
            <w:pPr>
              <w:adjustRightInd w:val="0"/>
              <w:snapToGrid w:val="0"/>
              <w:spacing w:line="360" w:lineRule="auto"/>
              <w:ind w:firstLine="422" w:firstLineChars="200"/>
              <w:rPr>
                <w:rFonts w:hint="eastAsia" w:ascii="宋体" w:hAnsi="宋体" w:cs="宋体"/>
                <w:b/>
                <w:bCs/>
              </w:rPr>
            </w:pPr>
            <w:r>
              <w:rPr>
                <w:rFonts w:hint="eastAsia" w:ascii="宋体" w:hAnsi="宋体" w:cs="宋体"/>
                <w:b/>
                <w:bCs/>
              </w:rPr>
              <w:t>24.67</w:t>
            </w:r>
          </w:p>
        </w:tc>
        <w:tc>
          <w:tcPr>
            <w:tcW w:w="850" w:type="dxa"/>
          </w:tcPr>
          <w:p>
            <w:pPr>
              <w:adjustRightInd w:val="0"/>
              <w:snapToGrid w:val="0"/>
              <w:spacing w:line="360" w:lineRule="auto"/>
              <w:ind w:firstLine="422" w:firstLineChars="200"/>
              <w:rPr>
                <w:rFonts w:hint="eastAsia" w:ascii="宋体" w:hAnsi="宋体" w:cs="宋体"/>
                <w:b/>
                <w:bCs/>
              </w:rPr>
            </w:pPr>
            <w:r>
              <w:rPr>
                <w:rFonts w:hint="eastAsia" w:ascii="宋体" w:hAnsi="宋体" w:cs="宋体"/>
                <w:b/>
                <w:bCs/>
              </w:rPr>
              <w:t>21.20</w:t>
            </w:r>
          </w:p>
        </w:tc>
        <w:tc>
          <w:tcPr>
            <w:tcW w:w="851" w:type="dxa"/>
          </w:tcPr>
          <w:p>
            <w:pPr>
              <w:adjustRightInd w:val="0"/>
              <w:snapToGrid w:val="0"/>
              <w:spacing w:line="360" w:lineRule="auto"/>
              <w:ind w:firstLine="422" w:firstLineChars="200"/>
              <w:rPr>
                <w:rFonts w:hint="eastAsia" w:ascii="宋体" w:hAnsi="宋体" w:cs="宋体"/>
                <w:b/>
                <w:bCs/>
              </w:rPr>
            </w:pPr>
            <w:r>
              <w:rPr>
                <w:rFonts w:hint="eastAsia" w:ascii="宋体" w:hAnsi="宋体" w:cs="宋体"/>
                <w:b/>
                <w:bCs/>
              </w:rPr>
              <w:t>21.02</w:t>
            </w:r>
          </w:p>
        </w:tc>
        <w:tc>
          <w:tcPr>
            <w:tcW w:w="850" w:type="dxa"/>
          </w:tcPr>
          <w:p>
            <w:pPr>
              <w:adjustRightInd w:val="0"/>
              <w:snapToGrid w:val="0"/>
              <w:spacing w:line="360" w:lineRule="auto"/>
              <w:ind w:firstLine="422" w:firstLineChars="200"/>
              <w:rPr>
                <w:rFonts w:hint="eastAsia" w:ascii="宋体" w:hAnsi="宋体" w:cs="宋体"/>
                <w:b/>
                <w:bCs/>
              </w:rPr>
            </w:pPr>
            <w:r>
              <w:rPr>
                <w:rFonts w:hint="eastAsia" w:ascii="宋体" w:hAnsi="宋体" w:cs="宋体"/>
                <w:b/>
                <w:bCs/>
              </w:rPr>
              <w:t>23.47</w:t>
            </w:r>
          </w:p>
        </w:tc>
        <w:tc>
          <w:tcPr>
            <w:tcW w:w="851" w:type="dxa"/>
          </w:tcPr>
          <w:p>
            <w:pPr>
              <w:adjustRightInd w:val="0"/>
              <w:snapToGrid w:val="0"/>
              <w:spacing w:line="360" w:lineRule="auto"/>
              <w:ind w:firstLine="422" w:firstLineChars="200"/>
              <w:rPr>
                <w:rFonts w:hint="eastAsia" w:ascii="宋体" w:hAnsi="宋体" w:cs="宋体"/>
                <w:b/>
                <w:bCs/>
              </w:rPr>
            </w:pPr>
            <w:r>
              <w:rPr>
                <w:rFonts w:hint="eastAsia" w:ascii="宋体" w:hAnsi="宋体" w:cs="宋体"/>
                <w:b/>
                <w:bCs/>
              </w:rPr>
              <w:t>19.93</w:t>
            </w:r>
          </w:p>
        </w:tc>
        <w:tc>
          <w:tcPr>
            <w:tcW w:w="850" w:type="dxa"/>
          </w:tcPr>
          <w:p>
            <w:pPr>
              <w:adjustRightInd w:val="0"/>
              <w:snapToGrid w:val="0"/>
              <w:spacing w:line="360" w:lineRule="auto"/>
              <w:ind w:firstLine="422" w:firstLineChars="200"/>
              <w:rPr>
                <w:rFonts w:hint="eastAsia" w:ascii="宋体" w:hAnsi="宋体" w:cs="宋体"/>
                <w:b/>
                <w:bCs/>
              </w:rPr>
            </w:pPr>
            <w:r>
              <w:rPr>
                <w:rFonts w:hint="eastAsia" w:ascii="宋体" w:hAnsi="宋体" w:cs="宋体"/>
                <w:b/>
                <w:bCs/>
              </w:rPr>
              <w:t>21.61</w:t>
            </w:r>
          </w:p>
        </w:tc>
        <w:tc>
          <w:tcPr>
            <w:tcW w:w="1086" w:type="dxa"/>
          </w:tcPr>
          <w:p>
            <w:pPr>
              <w:adjustRightInd w:val="0"/>
              <w:snapToGrid w:val="0"/>
              <w:spacing w:line="360" w:lineRule="auto"/>
              <w:ind w:firstLine="422" w:firstLineChars="200"/>
              <w:rPr>
                <w:rFonts w:hint="eastAsia" w:ascii="宋体" w:hAnsi="宋体" w:cs="宋体"/>
                <w:b/>
                <w:bCs/>
              </w:rPr>
            </w:pPr>
            <w:r>
              <w:rPr>
                <w:rFonts w:hint="eastAsia" w:ascii="宋体" w:hAnsi="宋体" w:cs="宋体"/>
                <w:b/>
                <w:bCs/>
              </w:rPr>
              <w:t>22.6</w:t>
            </w:r>
          </w:p>
        </w:tc>
        <w:tc>
          <w:tcPr>
            <w:tcW w:w="852" w:type="dxa"/>
          </w:tcPr>
          <w:p>
            <w:pPr>
              <w:adjustRightInd w:val="0"/>
              <w:snapToGrid w:val="0"/>
              <w:spacing w:line="360" w:lineRule="auto"/>
              <w:ind w:firstLine="422" w:firstLineChars="200"/>
              <w:rPr>
                <w:rFonts w:hint="eastAsia" w:ascii="宋体" w:hAnsi="宋体" w:cs="宋体"/>
                <w:b/>
                <w:bCs/>
              </w:rPr>
            </w:pPr>
            <w:r>
              <w:rPr>
                <w:rFonts w:hint="eastAsia" w:ascii="宋体" w:hAnsi="宋体" w:cs="宋体"/>
                <w:b/>
                <w:bCs/>
              </w:rPr>
              <w:t>22.47</w:t>
            </w:r>
          </w:p>
        </w:tc>
      </w:tr>
    </w:tbl>
    <w:p>
      <w:pPr>
        <w:adjustRightInd w:val="0"/>
        <w:snapToGrid w:val="0"/>
        <w:spacing w:line="360" w:lineRule="auto"/>
        <w:ind w:firstLine="420" w:firstLineChars="200"/>
        <w:rPr>
          <w:rFonts w:hint="eastAsia" w:ascii="宋体" w:hAnsi="宋体" w:cs="宋体"/>
        </w:rPr>
      </w:pPr>
      <w:r>
        <w:rPr>
          <w:rFonts w:hint="eastAsia" w:ascii="宋体" w:hAnsi="宋体" w:cs="宋体"/>
        </w:rPr>
        <w:t>从上表可见，整个佛山市地区检察机关醉驾案件总数自2011年入刑后呈逐年上升趋势，至2016年忽然急速上升达到2011年的22倍后则持续保持稳态高位至今。值得注意的是，无论是佛山市还是顺德区，醉驾案件数占总受理刑事案件数的比例也是逐年升高的，整个佛山市从2011年入刑之初占个位数的1.65%,到2016年翻倍增长并首次超越盗窃案成为占比第一的刑事案件后，又持续增长至2020年上半年达到33.23%，约全部刑事案件数的三分之一。无论是已经五年持续高位的基础数量还是持续上升的占比都远超乎入刑之初的预期，引人深思。</w:t>
      </w:r>
    </w:p>
    <w:p>
      <w:pPr>
        <w:adjustRightInd w:val="0"/>
        <w:snapToGrid w:val="0"/>
        <w:spacing w:line="360" w:lineRule="auto"/>
        <w:ind w:firstLine="422" w:firstLineChars="200"/>
        <w:rPr>
          <w:rFonts w:hint="eastAsia" w:ascii="宋体" w:hAnsi="宋体" w:cs="宋体"/>
          <w:b/>
          <w:bCs/>
        </w:rPr>
      </w:pPr>
      <w:r>
        <w:rPr>
          <w:rFonts w:hint="eastAsia" w:ascii="宋体" w:hAnsi="宋体" w:cs="宋体"/>
          <w:b/>
          <w:bCs/>
        </w:rPr>
        <w:t>（二）顺德区近三年“醉驾”案件主要特征</w:t>
      </w:r>
    </w:p>
    <w:p>
      <w:pPr>
        <w:adjustRightInd w:val="0"/>
        <w:snapToGrid w:val="0"/>
        <w:spacing w:line="360" w:lineRule="auto"/>
        <w:ind w:firstLine="420" w:firstLineChars="200"/>
        <w:rPr>
          <w:rFonts w:hint="eastAsia" w:ascii="宋体" w:hAnsi="宋体" w:cs="宋体"/>
        </w:rPr>
      </w:pPr>
      <w:r>
        <w:rPr>
          <w:rFonts w:hint="eastAsia" w:ascii="宋体" w:hAnsi="宋体" w:cs="宋体"/>
        </w:rPr>
        <w:t>经对顺德区近三年（2018年1月1日至2020年6月30日）办理的4433件醉驾案件中按时间分布随机抽取的1000件为样本进行分析后可见，醉驾案件在高发地区的基层实践中主要呈现以下特征：</w:t>
      </w:r>
    </w:p>
    <w:p>
      <w:pPr>
        <w:adjustRightInd w:val="0"/>
        <w:snapToGrid w:val="0"/>
        <w:spacing w:line="360" w:lineRule="auto"/>
        <w:ind w:firstLine="422" w:firstLineChars="200"/>
        <w:rPr>
          <w:rFonts w:hint="eastAsia" w:ascii="宋体" w:hAnsi="宋体" w:cs="宋体"/>
        </w:rPr>
      </w:pPr>
      <w:r>
        <w:rPr>
          <w:rFonts w:hint="eastAsia" w:ascii="宋体" w:hAnsi="宋体" w:cs="宋体"/>
          <w:b/>
          <w:bCs/>
        </w:rPr>
        <w:t>1.发案数随酒精含量的上升呈区间式递减。</w:t>
      </w:r>
      <w:r>
        <w:rPr>
          <w:rFonts w:hint="eastAsia" w:ascii="宋体" w:hAnsi="宋体" w:cs="宋体"/>
        </w:rPr>
        <w:t>如下表所示，案件数对应酒精含量区间分布分别为：80-120（酒精含量单位均为：mg/100ml，全文同）的占44.3%，120-160的占30.5%，160-200的占14.1%，200以上的占11.1%；300以上的有10人，其中包括500以上1人，600以上1人。从全部醉驾案件的犯罪嫌疑人供述中可知，大多数涉罪人员的饮酒量集中在少量白酒（或洋酒等）或1至5瓶啤酒范围内，酒后自我意识认知状态较为清醒（或自认为不足以影响开车），真正大量饮酒后开车的占极少数。</w:t>
      </w:r>
    </w:p>
    <w:p>
      <w:pPr>
        <w:adjustRightInd w:val="0"/>
        <w:snapToGrid w:val="0"/>
        <w:spacing w:line="360" w:lineRule="auto"/>
        <w:ind w:firstLine="420" w:firstLineChars="200"/>
        <w:rPr>
          <w:rFonts w:hint="eastAsia" w:ascii="宋体" w:hAnsi="宋体" w:cs="宋体"/>
        </w:rPr>
      </w:pPr>
      <w:r>
        <w:rPr>
          <w:rFonts w:hint="eastAsia" w:ascii="宋体" w:hAnsi="宋体" w:cs="宋体"/>
        </w:rPr>
        <w:t xml:space="preserve">表3:1000件抽样案件酒精含量分布区 </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1"/>
        <w:gridCol w:w="904"/>
        <w:gridCol w:w="1033"/>
        <w:gridCol w:w="957"/>
        <w:gridCol w:w="981"/>
        <w:gridCol w:w="1033"/>
        <w:gridCol w:w="1035"/>
        <w:gridCol w:w="1033"/>
        <w:gridCol w:w="1034"/>
        <w:gridCol w:w="7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atLeast"/>
          <w:jc w:val="center"/>
        </w:trPr>
        <w:tc>
          <w:tcPr>
            <w:tcW w:w="1111"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酒精含量</w:t>
            </w:r>
          </w:p>
        </w:tc>
        <w:tc>
          <w:tcPr>
            <w:tcW w:w="904"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80-100</w:t>
            </w:r>
          </w:p>
        </w:tc>
        <w:tc>
          <w:tcPr>
            <w:tcW w:w="1033"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100-120</w:t>
            </w:r>
          </w:p>
        </w:tc>
        <w:tc>
          <w:tcPr>
            <w:tcW w:w="957"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120-140</w:t>
            </w:r>
          </w:p>
        </w:tc>
        <w:tc>
          <w:tcPr>
            <w:tcW w:w="981"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140-160</w:t>
            </w:r>
          </w:p>
        </w:tc>
        <w:tc>
          <w:tcPr>
            <w:tcW w:w="1033"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160-180</w:t>
            </w:r>
          </w:p>
        </w:tc>
        <w:tc>
          <w:tcPr>
            <w:tcW w:w="1035"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180-200</w:t>
            </w:r>
          </w:p>
        </w:tc>
        <w:tc>
          <w:tcPr>
            <w:tcW w:w="1033"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200-300</w:t>
            </w:r>
          </w:p>
        </w:tc>
        <w:tc>
          <w:tcPr>
            <w:tcW w:w="1034"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300以上</w:t>
            </w:r>
          </w:p>
        </w:tc>
        <w:tc>
          <w:tcPr>
            <w:tcW w:w="779"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1111"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总数</w:t>
            </w:r>
          </w:p>
        </w:tc>
        <w:tc>
          <w:tcPr>
            <w:tcW w:w="904"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226</w:t>
            </w:r>
          </w:p>
        </w:tc>
        <w:tc>
          <w:tcPr>
            <w:tcW w:w="1033"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217</w:t>
            </w:r>
          </w:p>
        </w:tc>
        <w:tc>
          <w:tcPr>
            <w:tcW w:w="957"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175</w:t>
            </w:r>
          </w:p>
        </w:tc>
        <w:tc>
          <w:tcPr>
            <w:tcW w:w="981"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130</w:t>
            </w:r>
          </w:p>
        </w:tc>
        <w:tc>
          <w:tcPr>
            <w:tcW w:w="1033"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77</w:t>
            </w:r>
          </w:p>
        </w:tc>
        <w:tc>
          <w:tcPr>
            <w:tcW w:w="1035"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64</w:t>
            </w:r>
          </w:p>
        </w:tc>
        <w:tc>
          <w:tcPr>
            <w:tcW w:w="1033"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101</w:t>
            </w:r>
          </w:p>
        </w:tc>
        <w:tc>
          <w:tcPr>
            <w:tcW w:w="1034"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10</w:t>
            </w:r>
          </w:p>
        </w:tc>
        <w:tc>
          <w:tcPr>
            <w:tcW w:w="779"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1111"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占比</w:t>
            </w:r>
          </w:p>
        </w:tc>
        <w:tc>
          <w:tcPr>
            <w:tcW w:w="904"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22.6</w:t>
            </w:r>
          </w:p>
        </w:tc>
        <w:tc>
          <w:tcPr>
            <w:tcW w:w="1033"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21.7</w:t>
            </w:r>
          </w:p>
        </w:tc>
        <w:tc>
          <w:tcPr>
            <w:tcW w:w="957"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17.5</w:t>
            </w:r>
          </w:p>
        </w:tc>
        <w:tc>
          <w:tcPr>
            <w:tcW w:w="981"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13.0</w:t>
            </w:r>
          </w:p>
        </w:tc>
        <w:tc>
          <w:tcPr>
            <w:tcW w:w="1033"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7.7</w:t>
            </w:r>
          </w:p>
        </w:tc>
        <w:tc>
          <w:tcPr>
            <w:tcW w:w="1035"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6.4</w:t>
            </w:r>
          </w:p>
        </w:tc>
        <w:tc>
          <w:tcPr>
            <w:tcW w:w="1033"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10.1</w:t>
            </w:r>
          </w:p>
        </w:tc>
        <w:tc>
          <w:tcPr>
            <w:tcW w:w="1034"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1.0</w:t>
            </w:r>
          </w:p>
        </w:tc>
        <w:tc>
          <w:tcPr>
            <w:tcW w:w="779"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100%</w:t>
            </w:r>
          </w:p>
        </w:tc>
      </w:tr>
    </w:tbl>
    <w:p>
      <w:pPr>
        <w:adjustRightInd w:val="0"/>
        <w:snapToGrid w:val="0"/>
        <w:spacing w:line="360" w:lineRule="auto"/>
        <w:ind w:firstLine="422" w:firstLineChars="200"/>
        <w:rPr>
          <w:rFonts w:hint="eastAsia" w:ascii="宋体" w:hAnsi="宋体" w:cs="宋体"/>
        </w:rPr>
      </w:pPr>
      <w:r>
        <w:rPr>
          <w:rFonts w:hint="eastAsia" w:ascii="宋体" w:hAnsi="宋体" w:cs="宋体"/>
          <w:b/>
          <w:bCs/>
        </w:rPr>
        <w:t>2.作案动机绝大多数为侥幸心理。</w:t>
      </w:r>
      <w:r>
        <w:rPr>
          <w:rFonts w:hint="eastAsia" w:ascii="宋体" w:hAnsi="宋体" w:cs="宋体"/>
        </w:rPr>
        <w:t>在办理的所有醉驾案件中，除个别两三个犯罪嫌疑人表示不知道或不记得自己有开车（比如表示自己只记得有推行摩托车），个别一两个表示不知道醉驾违法（比如有自称在“醉驾入刑”前开始服刑出狱后尚不知道醉驾违法的），其余绝大多数表示知道醉驾违法，醉驾将面临刑事责任，但因酒后自认为认知状态清醒，本着不会因酒后驾车引发危险的自信和不会被查获的侥幸心理而以身试法。</w:t>
      </w:r>
    </w:p>
    <w:p>
      <w:pPr>
        <w:adjustRightInd w:val="0"/>
        <w:snapToGrid w:val="0"/>
        <w:spacing w:line="360" w:lineRule="auto"/>
        <w:ind w:firstLine="422" w:firstLineChars="200"/>
        <w:rPr>
          <w:rFonts w:hint="eastAsia" w:ascii="宋体" w:hAnsi="宋体" w:cs="宋体"/>
        </w:rPr>
      </w:pPr>
      <w:r>
        <w:rPr>
          <w:rFonts w:hint="eastAsia" w:ascii="宋体" w:hAnsi="宋体" w:cs="宋体"/>
          <w:b/>
          <w:bCs/>
        </w:rPr>
        <w:t>3.主动查获型醉驾占大多数。</w:t>
      </w:r>
      <w:r>
        <w:rPr>
          <w:rFonts w:hint="eastAsia" w:ascii="宋体" w:hAnsi="宋体" w:cs="宋体"/>
        </w:rPr>
        <w:t>在1000件案件中，由公安机关主动设卡查获的有770件，占比77%；其他因发生事故而案发的有230件，包括单方事故24件，发生事故且负主责以上的共186件占比10%，发生事故且负同等及以下责任的占17件，发生事故逃逸后被抓获的有3件。</w:t>
      </w:r>
    </w:p>
    <w:p>
      <w:pPr>
        <w:adjustRightInd w:val="0"/>
        <w:snapToGrid w:val="0"/>
        <w:spacing w:line="360" w:lineRule="auto"/>
        <w:ind w:firstLine="420" w:firstLineChars="200"/>
        <w:rPr>
          <w:rFonts w:hint="eastAsia" w:ascii="宋体" w:hAnsi="宋体" w:cs="宋体"/>
        </w:rPr>
      </w:pPr>
      <w:r>
        <w:rPr>
          <w:rFonts w:hint="eastAsia" w:ascii="宋体" w:hAnsi="宋体" w:cs="宋体"/>
        </w:rPr>
        <w:t>4.</w:t>
      </w:r>
      <w:r>
        <w:rPr>
          <w:rFonts w:hint="eastAsia" w:ascii="宋体" w:hAnsi="宋体" w:cs="宋体"/>
          <w:b/>
          <w:bCs/>
        </w:rPr>
        <w:t>醉驾人员以男性青壮年且有稳定工作人员为主。</w:t>
      </w:r>
      <w:r>
        <w:rPr>
          <w:rFonts w:hint="eastAsia" w:ascii="宋体" w:hAnsi="宋体" w:cs="宋体"/>
        </w:rPr>
        <w:t>作为社会主流中坚力量的男性青壮年约占到了涉罪人员总数的98%。1000件抽样案件中女性犯罪嫌疑人有25人，男性占比达97.5%；18岁至60岁的有982人，占到98.2%，另有未成年人8人，60岁以上人员10人。有较为稳定的工作人员（包括一般务工人员、公司职员、公职人员、个体户或个体经营公司企业等人员）占到80.9%。</w:t>
      </w:r>
    </w:p>
    <w:p>
      <w:pPr>
        <w:adjustRightInd w:val="0"/>
        <w:snapToGrid w:val="0"/>
        <w:spacing w:line="360" w:lineRule="auto"/>
        <w:ind w:firstLine="420" w:firstLineChars="200"/>
        <w:rPr>
          <w:rFonts w:hint="eastAsia" w:ascii="宋体" w:hAnsi="宋体" w:cs="宋体"/>
        </w:rPr>
      </w:pPr>
      <w:r>
        <w:rPr>
          <w:rFonts w:hint="eastAsia" w:ascii="宋体" w:hAnsi="宋体" w:cs="宋体"/>
        </w:rPr>
        <w:t>表4: 1000件抽样案件醉驾人员职业分布</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851"/>
        <w:gridCol w:w="709"/>
        <w:gridCol w:w="850"/>
        <w:gridCol w:w="709"/>
        <w:gridCol w:w="1134"/>
        <w:gridCol w:w="1559"/>
        <w:gridCol w:w="1134"/>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jc w:val="center"/>
        </w:trPr>
        <w:tc>
          <w:tcPr>
            <w:tcW w:w="709"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职业</w:t>
            </w:r>
          </w:p>
        </w:tc>
        <w:tc>
          <w:tcPr>
            <w:tcW w:w="851"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无业</w:t>
            </w:r>
          </w:p>
        </w:tc>
        <w:tc>
          <w:tcPr>
            <w:tcW w:w="709"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务农</w:t>
            </w:r>
          </w:p>
        </w:tc>
        <w:tc>
          <w:tcPr>
            <w:tcW w:w="850"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务工</w:t>
            </w:r>
          </w:p>
        </w:tc>
        <w:tc>
          <w:tcPr>
            <w:tcW w:w="709"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学生</w:t>
            </w:r>
          </w:p>
        </w:tc>
        <w:tc>
          <w:tcPr>
            <w:tcW w:w="1134"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公司职员</w:t>
            </w:r>
          </w:p>
        </w:tc>
        <w:tc>
          <w:tcPr>
            <w:tcW w:w="1559"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个体或企业主</w:t>
            </w:r>
          </w:p>
        </w:tc>
        <w:tc>
          <w:tcPr>
            <w:tcW w:w="1134"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公职人员</w:t>
            </w:r>
          </w:p>
        </w:tc>
        <w:tc>
          <w:tcPr>
            <w:tcW w:w="992"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09"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总数</w:t>
            </w:r>
          </w:p>
        </w:tc>
        <w:tc>
          <w:tcPr>
            <w:tcW w:w="851"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168</w:t>
            </w:r>
          </w:p>
        </w:tc>
        <w:tc>
          <w:tcPr>
            <w:tcW w:w="709"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21</w:t>
            </w:r>
          </w:p>
        </w:tc>
        <w:tc>
          <w:tcPr>
            <w:tcW w:w="850"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503</w:t>
            </w:r>
          </w:p>
        </w:tc>
        <w:tc>
          <w:tcPr>
            <w:tcW w:w="709"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2</w:t>
            </w:r>
          </w:p>
        </w:tc>
        <w:tc>
          <w:tcPr>
            <w:tcW w:w="1134"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166</w:t>
            </w:r>
          </w:p>
        </w:tc>
        <w:tc>
          <w:tcPr>
            <w:tcW w:w="1559"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132</w:t>
            </w:r>
          </w:p>
        </w:tc>
        <w:tc>
          <w:tcPr>
            <w:tcW w:w="1134"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8</w:t>
            </w:r>
          </w:p>
        </w:tc>
        <w:tc>
          <w:tcPr>
            <w:tcW w:w="992"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09"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占比</w:t>
            </w:r>
          </w:p>
        </w:tc>
        <w:tc>
          <w:tcPr>
            <w:tcW w:w="851"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16.8</w:t>
            </w:r>
          </w:p>
        </w:tc>
        <w:tc>
          <w:tcPr>
            <w:tcW w:w="709"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2.1</w:t>
            </w:r>
          </w:p>
        </w:tc>
        <w:tc>
          <w:tcPr>
            <w:tcW w:w="850"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50.3</w:t>
            </w:r>
          </w:p>
        </w:tc>
        <w:tc>
          <w:tcPr>
            <w:tcW w:w="709"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0.2</w:t>
            </w:r>
          </w:p>
        </w:tc>
        <w:tc>
          <w:tcPr>
            <w:tcW w:w="1134"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16.6</w:t>
            </w:r>
          </w:p>
        </w:tc>
        <w:tc>
          <w:tcPr>
            <w:tcW w:w="1559"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13.2</w:t>
            </w:r>
          </w:p>
        </w:tc>
        <w:tc>
          <w:tcPr>
            <w:tcW w:w="1134"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0.8</w:t>
            </w:r>
          </w:p>
        </w:tc>
        <w:tc>
          <w:tcPr>
            <w:tcW w:w="992"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100%</w:t>
            </w:r>
          </w:p>
        </w:tc>
      </w:tr>
    </w:tbl>
    <w:p>
      <w:pPr>
        <w:adjustRightInd w:val="0"/>
        <w:snapToGrid w:val="0"/>
        <w:spacing w:line="360" w:lineRule="auto"/>
        <w:ind w:firstLine="422" w:firstLineChars="200"/>
        <w:rPr>
          <w:rFonts w:hint="eastAsia" w:ascii="宋体" w:hAnsi="宋体" w:cs="宋体"/>
        </w:rPr>
      </w:pPr>
      <w:r>
        <w:rPr>
          <w:rFonts w:hint="eastAsia" w:ascii="宋体" w:hAnsi="宋体" w:cs="宋体"/>
          <w:b/>
          <w:bCs/>
        </w:rPr>
        <w:t>5.醉驾人员普遍接受过小学或以上教育。</w:t>
      </w:r>
      <w:r>
        <w:rPr>
          <w:rFonts w:hint="eastAsia" w:ascii="宋体" w:hAnsi="宋体" w:cs="宋体"/>
        </w:rPr>
        <w:t>接受过小学或以上教育的占98.7%，只有极少数人员为文盲或半文盲。其中初中文化比重最大，占到总人数的48.8%；受过小学、高中、大专或本科及以上教育的分别占17.8%、19.1%、13%，数量相差不大。</w:t>
      </w:r>
    </w:p>
    <w:p>
      <w:pPr>
        <w:adjustRightInd w:val="0"/>
        <w:snapToGrid w:val="0"/>
        <w:spacing w:line="360" w:lineRule="auto"/>
        <w:ind w:firstLine="420" w:firstLineChars="200"/>
        <w:rPr>
          <w:rFonts w:hint="eastAsia" w:ascii="宋体" w:hAnsi="宋体" w:cs="宋体"/>
        </w:rPr>
      </w:pPr>
      <w:r>
        <w:rPr>
          <w:rFonts w:hint="eastAsia" w:ascii="宋体" w:hAnsi="宋体" w:cs="宋体"/>
        </w:rPr>
        <w:t>表5: 1000件抽样案件醉驾人员文化程度分布</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3"/>
        <w:gridCol w:w="918"/>
        <w:gridCol w:w="805"/>
        <w:gridCol w:w="956"/>
        <w:gridCol w:w="1447"/>
        <w:gridCol w:w="1560"/>
        <w:gridCol w:w="964"/>
        <w:gridCol w:w="8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263"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文化层次</w:t>
            </w:r>
          </w:p>
        </w:tc>
        <w:tc>
          <w:tcPr>
            <w:tcW w:w="918"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文盲/半文盲</w:t>
            </w:r>
          </w:p>
        </w:tc>
        <w:tc>
          <w:tcPr>
            <w:tcW w:w="805"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小学</w:t>
            </w:r>
          </w:p>
        </w:tc>
        <w:tc>
          <w:tcPr>
            <w:tcW w:w="956"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初中</w:t>
            </w:r>
          </w:p>
        </w:tc>
        <w:tc>
          <w:tcPr>
            <w:tcW w:w="1447"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高中/职高/中专/技校</w:t>
            </w:r>
          </w:p>
        </w:tc>
        <w:tc>
          <w:tcPr>
            <w:tcW w:w="1560"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大专/高职/专科毕业</w:t>
            </w:r>
          </w:p>
        </w:tc>
        <w:tc>
          <w:tcPr>
            <w:tcW w:w="964"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本科及以上</w:t>
            </w:r>
          </w:p>
        </w:tc>
        <w:tc>
          <w:tcPr>
            <w:tcW w:w="825"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8" w:hRule="atLeast"/>
          <w:jc w:val="center"/>
        </w:trPr>
        <w:tc>
          <w:tcPr>
            <w:tcW w:w="1263"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总数</w:t>
            </w:r>
          </w:p>
        </w:tc>
        <w:tc>
          <w:tcPr>
            <w:tcW w:w="918"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13</w:t>
            </w:r>
          </w:p>
        </w:tc>
        <w:tc>
          <w:tcPr>
            <w:tcW w:w="805"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178</w:t>
            </w:r>
          </w:p>
        </w:tc>
        <w:tc>
          <w:tcPr>
            <w:tcW w:w="956"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488</w:t>
            </w:r>
          </w:p>
        </w:tc>
        <w:tc>
          <w:tcPr>
            <w:tcW w:w="1447"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191</w:t>
            </w:r>
          </w:p>
        </w:tc>
        <w:tc>
          <w:tcPr>
            <w:tcW w:w="1560"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88</w:t>
            </w:r>
          </w:p>
        </w:tc>
        <w:tc>
          <w:tcPr>
            <w:tcW w:w="964"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42</w:t>
            </w:r>
          </w:p>
        </w:tc>
        <w:tc>
          <w:tcPr>
            <w:tcW w:w="825"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jc w:val="center"/>
        </w:trPr>
        <w:tc>
          <w:tcPr>
            <w:tcW w:w="1263"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占比</w:t>
            </w:r>
          </w:p>
        </w:tc>
        <w:tc>
          <w:tcPr>
            <w:tcW w:w="918"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1.3</w:t>
            </w:r>
          </w:p>
        </w:tc>
        <w:tc>
          <w:tcPr>
            <w:tcW w:w="805"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17.8</w:t>
            </w:r>
          </w:p>
        </w:tc>
        <w:tc>
          <w:tcPr>
            <w:tcW w:w="956"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48.8</w:t>
            </w:r>
          </w:p>
        </w:tc>
        <w:tc>
          <w:tcPr>
            <w:tcW w:w="1447"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19.1</w:t>
            </w:r>
          </w:p>
        </w:tc>
        <w:tc>
          <w:tcPr>
            <w:tcW w:w="1560"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8.8</w:t>
            </w:r>
          </w:p>
        </w:tc>
        <w:tc>
          <w:tcPr>
            <w:tcW w:w="964"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4.2</w:t>
            </w:r>
          </w:p>
        </w:tc>
        <w:tc>
          <w:tcPr>
            <w:tcW w:w="825"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100%</w:t>
            </w:r>
          </w:p>
        </w:tc>
      </w:tr>
    </w:tbl>
    <w:p>
      <w:pPr>
        <w:adjustRightInd w:val="0"/>
        <w:snapToGrid w:val="0"/>
        <w:spacing w:line="360" w:lineRule="auto"/>
        <w:ind w:firstLine="422" w:firstLineChars="200"/>
        <w:rPr>
          <w:rFonts w:hint="eastAsia" w:ascii="宋体" w:hAnsi="宋体" w:cs="宋体"/>
        </w:rPr>
      </w:pPr>
      <w:r>
        <w:rPr>
          <w:rFonts w:hint="eastAsia" w:ascii="宋体" w:hAnsi="宋体" w:cs="宋体"/>
          <w:b/>
          <w:bCs/>
        </w:rPr>
        <w:t xml:space="preserve"> 6.交通工具主要为摩托车或小型汽车，道路类型主要为普通公路。</w:t>
      </w:r>
      <w:r>
        <w:rPr>
          <w:rFonts w:hint="eastAsia" w:ascii="宋体" w:hAnsi="宋体" w:cs="宋体"/>
        </w:rPr>
        <w:t>摩托车和小型汽车占到总数的99.7%，其中驾驶小型汽车的629人、驾驶摩托车的368人，另有驾驶货车的3人，无营运车。道路类型中97.7%为普通公路，经过高速公路的有23件。</w:t>
      </w:r>
    </w:p>
    <w:p>
      <w:pPr>
        <w:numPr>
          <w:ilvl w:val="0"/>
          <w:numId w:val="1"/>
        </w:numPr>
        <w:adjustRightInd w:val="0"/>
        <w:snapToGrid w:val="0"/>
        <w:spacing w:line="360" w:lineRule="auto"/>
        <w:ind w:firstLine="422" w:firstLineChars="200"/>
        <w:rPr>
          <w:rFonts w:hint="eastAsia" w:ascii="宋体" w:hAnsi="宋体" w:cs="宋体"/>
        </w:rPr>
      </w:pPr>
      <w:r>
        <w:rPr>
          <w:rFonts w:hint="eastAsia" w:ascii="宋体" w:hAnsi="宋体" w:cs="宋体"/>
          <w:b/>
          <w:bCs/>
        </w:rPr>
        <w:t>认罪认罚率达99.3%。</w:t>
      </w:r>
      <w:r>
        <w:rPr>
          <w:rFonts w:hint="eastAsia" w:ascii="宋体" w:hAnsi="宋体" w:cs="宋体"/>
        </w:rPr>
        <w:t>醉驾案件情节普遍较为轻微，多数为现场查获、证据确凿，量刑在拘役一至三个月不等，犯罪嫌疑人普遍在侦查阶段即认罪认罚。自2019年9月全面推行认罪认罚从宽制度以来至今，顺德区办理的共计1422人醉驾案件中，仅有10人因对量刑内容有异议或不认罪或单方面不愿意签具认罪认罚具结书等原因未认罪认罚，认罪认罚率达99.3%。</w:t>
      </w:r>
    </w:p>
    <w:p>
      <w:pPr>
        <w:numPr>
          <w:ilvl w:val="0"/>
          <w:numId w:val="1"/>
        </w:numPr>
        <w:adjustRightInd w:val="0"/>
        <w:snapToGrid w:val="0"/>
        <w:spacing w:line="360" w:lineRule="auto"/>
        <w:ind w:firstLine="422" w:firstLineChars="200"/>
        <w:rPr>
          <w:rFonts w:hint="eastAsia" w:ascii="宋体" w:hAnsi="宋体" w:cs="宋体"/>
        </w:rPr>
      </w:pPr>
      <w:r>
        <w:rPr>
          <w:rFonts w:hint="eastAsia" w:ascii="宋体" w:hAnsi="宋体" w:cs="宋体"/>
          <w:b/>
          <w:bCs/>
        </w:rPr>
        <w:t>主刑主要以血液酒精含量为考量标准呈正向递增。</w:t>
      </w:r>
      <w:r>
        <w:rPr>
          <w:rFonts w:hint="eastAsia" w:ascii="宋体" w:hAnsi="宋体" w:cs="宋体"/>
        </w:rPr>
        <w:t>在1000件抽样调查的醉驾案件中，起诉的共有721人，其中被判处免刑的有17人，判处实刑的有139人，占19.28%，主要为具有无证、发生事故且负主责以上或者已达强制报废标准等从重情节的情况；血液酒精含量在80至180之间的，89.03%的人被判处拘役1至2 个月之间（不包含2个月）</w:t>
      </w:r>
      <w:r>
        <w:rPr>
          <w:rStyle w:val="5"/>
          <w:rFonts w:hint="eastAsia"/>
        </w:rPr>
        <w:footnoteReference w:id="3"/>
      </w:r>
      <w:r>
        <w:rPr>
          <w:rFonts w:hint="eastAsia" w:ascii="宋体" w:hAnsi="宋体" w:cs="宋体"/>
        </w:rPr>
        <w:t>，因情节的不同而判处缓刑2至4个月不等；血液酒精含量为180以上的，76.44%被判处拘役2个月，21.26%被判处拘役3个月或以上；不起诉有279人，其中血液酒精含量80至100、100至120、120至140分别占51.25%、35.84%、12.19%。同档酒精含量范围内情节程度相当的在是否起诉、判处拘役期限、是否缓刑上基本保持了统一，差异不大，同档酒精含量范围内情节程度的差异主要体现在缓刑期和罚金的不同上，量刑主要以180为界，随区间酒精含量的增加而增加。</w:t>
      </w:r>
    </w:p>
    <w:p>
      <w:pPr>
        <w:adjustRightInd w:val="0"/>
        <w:snapToGrid w:val="0"/>
        <w:spacing w:line="360" w:lineRule="auto"/>
        <w:ind w:firstLine="420" w:firstLineChars="200"/>
        <w:rPr>
          <w:rFonts w:hint="eastAsia" w:ascii="宋体" w:hAnsi="宋体" w:cs="宋体"/>
        </w:rPr>
      </w:pPr>
      <w:r>
        <w:rPr>
          <w:rFonts w:hint="eastAsia" w:ascii="宋体" w:hAnsi="宋体" w:cs="宋体"/>
        </w:rPr>
        <w:t>表6: 1000件抽样案件中起诉案件酒精含量与量刑情况对照表</w:t>
      </w:r>
    </w:p>
    <w:tbl>
      <w:tblPr>
        <w:tblStyle w:val="3"/>
        <w:tblW w:w="0" w:type="auto"/>
        <w:tblInd w:w="-5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9"/>
        <w:gridCol w:w="570"/>
        <w:gridCol w:w="744"/>
        <w:gridCol w:w="1105"/>
        <w:gridCol w:w="1035"/>
        <w:gridCol w:w="1023"/>
        <w:gridCol w:w="1116"/>
        <w:gridCol w:w="1000"/>
        <w:gridCol w:w="803"/>
        <w:gridCol w:w="872"/>
        <w:gridCol w:w="847"/>
        <w:gridCol w:w="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567" w:hRule="atLeast"/>
        </w:trPr>
        <w:tc>
          <w:tcPr>
            <w:tcW w:w="1069" w:type="dxa"/>
            <w:vMerge w:val="restart"/>
          </w:tcPr>
          <w:p>
            <w:pPr>
              <w:adjustRightInd w:val="0"/>
              <w:snapToGrid w:val="0"/>
              <w:spacing w:line="360" w:lineRule="auto"/>
              <w:ind w:firstLine="420" w:firstLineChars="200"/>
              <w:rPr>
                <w:rFonts w:hint="eastAsia" w:ascii="宋体" w:hAnsi="宋体" w:cs="宋体"/>
              </w:rPr>
            </w:pPr>
            <w:r>
              <w:rPr>
                <w:rFonts w:hint="eastAsia" w:ascii="宋体" w:hAnsi="宋体" w:cs="宋体"/>
              </w:rPr>
              <w:t>酒精</w:t>
            </w:r>
          </w:p>
          <w:p>
            <w:pPr>
              <w:adjustRightInd w:val="0"/>
              <w:snapToGrid w:val="0"/>
              <w:spacing w:line="360" w:lineRule="auto"/>
              <w:ind w:firstLine="420" w:firstLineChars="200"/>
              <w:rPr>
                <w:rFonts w:hint="eastAsia" w:ascii="宋体" w:hAnsi="宋体" w:cs="宋体"/>
              </w:rPr>
            </w:pPr>
            <w:r>
              <w:rPr>
                <w:rFonts w:hint="eastAsia" w:ascii="宋体" w:hAnsi="宋体" w:cs="宋体"/>
              </w:rPr>
              <w:t>含量</w:t>
            </w:r>
          </w:p>
        </w:tc>
        <w:tc>
          <w:tcPr>
            <w:tcW w:w="570" w:type="dxa"/>
          </w:tcPr>
          <w:p>
            <w:pPr>
              <w:adjustRightInd w:val="0"/>
              <w:snapToGrid w:val="0"/>
              <w:spacing w:line="360" w:lineRule="auto"/>
              <w:ind w:firstLine="420" w:firstLineChars="200"/>
              <w:rPr>
                <w:rFonts w:hint="eastAsia" w:ascii="宋体" w:hAnsi="宋体" w:cs="宋体"/>
              </w:rPr>
            </w:pPr>
          </w:p>
        </w:tc>
        <w:tc>
          <w:tcPr>
            <w:tcW w:w="6826" w:type="dxa"/>
            <w:gridSpan w:val="7"/>
          </w:tcPr>
          <w:p>
            <w:pPr>
              <w:adjustRightInd w:val="0"/>
              <w:snapToGrid w:val="0"/>
              <w:spacing w:line="360" w:lineRule="auto"/>
              <w:ind w:firstLine="420" w:firstLineChars="200"/>
              <w:rPr>
                <w:rFonts w:hint="eastAsia" w:ascii="宋体" w:hAnsi="宋体" w:cs="宋体"/>
              </w:rPr>
            </w:pPr>
            <w:r>
              <w:rPr>
                <w:rFonts w:hint="eastAsia" w:ascii="宋体" w:hAnsi="宋体" w:cs="宋体"/>
              </w:rPr>
              <w:t>量刑情况（系统数据以月为单位）</w:t>
            </w:r>
          </w:p>
        </w:tc>
        <w:tc>
          <w:tcPr>
            <w:tcW w:w="872" w:type="dxa"/>
          </w:tcPr>
          <w:p>
            <w:pPr>
              <w:adjustRightInd w:val="0"/>
              <w:snapToGrid w:val="0"/>
              <w:spacing w:line="360" w:lineRule="auto"/>
              <w:ind w:firstLine="420" w:firstLineChars="200"/>
              <w:rPr>
                <w:rFonts w:hint="eastAsia" w:ascii="宋体" w:hAnsi="宋体" w:cs="宋体"/>
              </w:rPr>
            </w:pPr>
          </w:p>
        </w:tc>
        <w:tc>
          <w:tcPr>
            <w:tcW w:w="847" w:type="dxa"/>
          </w:tcPr>
          <w:p>
            <w:pPr>
              <w:adjustRightInd w:val="0"/>
              <w:snapToGrid w:val="0"/>
              <w:spacing w:line="360" w:lineRule="auto"/>
              <w:ind w:firstLine="420" w:firstLineChars="200"/>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1069" w:type="dxa"/>
            <w:vMerge w:val="continue"/>
          </w:tcPr>
          <w:p>
            <w:pPr>
              <w:adjustRightInd w:val="0"/>
              <w:snapToGrid w:val="0"/>
              <w:spacing w:line="360" w:lineRule="auto"/>
              <w:ind w:firstLine="420" w:firstLineChars="200"/>
              <w:rPr>
                <w:rFonts w:hint="eastAsia" w:ascii="宋体" w:hAnsi="宋体" w:cs="宋体"/>
              </w:rPr>
            </w:pPr>
          </w:p>
        </w:tc>
        <w:tc>
          <w:tcPr>
            <w:tcW w:w="570"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总数</w:t>
            </w:r>
          </w:p>
        </w:tc>
        <w:tc>
          <w:tcPr>
            <w:tcW w:w="744"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免刑</w:t>
            </w:r>
          </w:p>
        </w:tc>
        <w:tc>
          <w:tcPr>
            <w:tcW w:w="1105"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1-2（不含2）</w:t>
            </w:r>
          </w:p>
        </w:tc>
        <w:tc>
          <w:tcPr>
            <w:tcW w:w="1035"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2-3（不含3）</w:t>
            </w:r>
          </w:p>
        </w:tc>
        <w:tc>
          <w:tcPr>
            <w:tcW w:w="1023"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3-4（不含4）</w:t>
            </w:r>
          </w:p>
        </w:tc>
        <w:tc>
          <w:tcPr>
            <w:tcW w:w="1116"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4-5（不含5）</w:t>
            </w:r>
          </w:p>
        </w:tc>
        <w:tc>
          <w:tcPr>
            <w:tcW w:w="1000"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5-6（不含6）</w:t>
            </w:r>
          </w:p>
        </w:tc>
        <w:tc>
          <w:tcPr>
            <w:tcW w:w="803"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6及以上</w:t>
            </w:r>
          </w:p>
        </w:tc>
        <w:tc>
          <w:tcPr>
            <w:tcW w:w="872"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缓刑</w:t>
            </w:r>
          </w:p>
        </w:tc>
        <w:tc>
          <w:tcPr>
            <w:tcW w:w="854" w:type="dxa"/>
            <w:gridSpan w:val="2"/>
          </w:tcPr>
          <w:p>
            <w:pPr>
              <w:adjustRightInd w:val="0"/>
              <w:snapToGrid w:val="0"/>
              <w:spacing w:line="360" w:lineRule="auto"/>
              <w:ind w:firstLine="420" w:firstLineChars="200"/>
              <w:rPr>
                <w:rFonts w:hint="eastAsia" w:ascii="宋体" w:hAnsi="宋体" w:cs="宋体"/>
              </w:rPr>
            </w:pPr>
            <w:r>
              <w:rPr>
                <w:rFonts w:hint="eastAsia" w:ascii="宋体" w:hAnsi="宋体" w:cs="宋体"/>
              </w:rPr>
              <w:t>实刑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69"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80-100</w:t>
            </w:r>
          </w:p>
        </w:tc>
        <w:tc>
          <w:tcPr>
            <w:tcW w:w="570"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83</w:t>
            </w:r>
          </w:p>
        </w:tc>
        <w:tc>
          <w:tcPr>
            <w:tcW w:w="744"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7</w:t>
            </w:r>
          </w:p>
        </w:tc>
        <w:tc>
          <w:tcPr>
            <w:tcW w:w="1105"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73</w:t>
            </w:r>
          </w:p>
        </w:tc>
        <w:tc>
          <w:tcPr>
            <w:tcW w:w="1035"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2</w:t>
            </w:r>
          </w:p>
        </w:tc>
        <w:tc>
          <w:tcPr>
            <w:tcW w:w="1023"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1</w:t>
            </w:r>
          </w:p>
        </w:tc>
        <w:tc>
          <w:tcPr>
            <w:tcW w:w="1116" w:type="dxa"/>
          </w:tcPr>
          <w:p>
            <w:pPr>
              <w:adjustRightInd w:val="0"/>
              <w:snapToGrid w:val="0"/>
              <w:spacing w:line="360" w:lineRule="auto"/>
              <w:ind w:firstLine="420" w:firstLineChars="200"/>
              <w:rPr>
                <w:rFonts w:hint="eastAsia" w:ascii="宋体" w:hAnsi="宋体" w:cs="宋体"/>
              </w:rPr>
            </w:pPr>
          </w:p>
        </w:tc>
        <w:tc>
          <w:tcPr>
            <w:tcW w:w="1000" w:type="dxa"/>
          </w:tcPr>
          <w:p>
            <w:pPr>
              <w:adjustRightInd w:val="0"/>
              <w:snapToGrid w:val="0"/>
              <w:spacing w:line="360" w:lineRule="auto"/>
              <w:ind w:firstLine="420" w:firstLineChars="200"/>
              <w:rPr>
                <w:rFonts w:hint="eastAsia" w:ascii="宋体" w:hAnsi="宋体" w:cs="宋体"/>
              </w:rPr>
            </w:pPr>
          </w:p>
        </w:tc>
        <w:tc>
          <w:tcPr>
            <w:tcW w:w="803" w:type="dxa"/>
          </w:tcPr>
          <w:p>
            <w:pPr>
              <w:adjustRightInd w:val="0"/>
              <w:snapToGrid w:val="0"/>
              <w:spacing w:line="360" w:lineRule="auto"/>
              <w:ind w:firstLine="420" w:firstLineChars="200"/>
              <w:rPr>
                <w:rFonts w:hint="eastAsia" w:ascii="宋体" w:hAnsi="宋体" w:cs="宋体"/>
              </w:rPr>
            </w:pPr>
          </w:p>
        </w:tc>
        <w:tc>
          <w:tcPr>
            <w:tcW w:w="872"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60</w:t>
            </w:r>
          </w:p>
        </w:tc>
        <w:tc>
          <w:tcPr>
            <w:tcW w:w="854" w:type="dxa"/>
            <w:gridSpan w:val="2"/>
          </w:tcPr>
          <w:p>
            <w:pPr>
              <w:adjustRightInd w:val="0"/>
              <w:snapToGrid w:val="0"/>
              <w:spacing w:line="360" w:lineRule="auto"/>
              <w:ind w:firstLine="420" w:firstLineChars="200"/>
              <w:rPr>
                <w:rFonts w:hint="eastAsia" w:ascii="宋体" w:hAnsi="宋体" w:cs="宋体"/>
              </w:rPr>
            </w:pPr>
            <w:r>
              <w:rPr>
                <w:rFonts w:hint="eastAsia" w:ascii="宋体" w:hAnsi="宋体" w:cs="宋体"/>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69"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100-120</w:t>
            </w:r>
          </w:p>
        </w:tc>
        <w:tc>
          <w:tcPr>
            <w:tcW w:w="570"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117</w:t>
            </w:r>
          </w:p>
        </w:tc>
        <w:tc>
          <w:tcPr>
            <w:tcW w:w="744"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9</w:t>
            </w:r>
          </w:p>
        </w:tc>
        <w:tc>
          <w:tcPr>
            <w:tcW w:w="1105"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99</w:t>
            </w:r>
          </w:p>
        </w:tc>
        <w:tc>
          <w:tcPr>
            <w:tcW w:w="1035"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7</w:t>
            </w:r>
          </w:p>
        </w:tc>
        <w:tc>
          <w:tcPr>
            <w:tcW w:w="1023"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1</w:t>
            </w:r>
          </w:p>
        </w:tc>
        <w:tc>
          <w:tcPr>
            <w:tcW w:w="1116"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1</w:t>
            </w:r>
          </w:p>
        </w:tc>
        <w:tc>
          <w:tcPr>
            <w:tcW w:w="1000" w:type="dxa"/>
          </w:tcPr>
          <w:p>
            <w:pPr>
              <w:adjustRightInd w:val="0"/>
              <w:snapToGrid w:val="0"/>
              <w:spacing w:line="360" w:lineRule="auto"/>
              <w:ind w:firstLine="420" w:firstLineChars="200"/>
              <w:rPr>
                <w:rFonts w:hint="eastAsia" w:ascii="宋体" w:hAnsi="宋体" w:cs="宋体"/>
              </w:rPr>
            </w:pPr>
          </w:p>
        </w:tc>
        <w:tc>
          <w:tcPr>
            <w:tcW w:w="803" w:type="dxa"/>
          </w:tcPr>
          <w:p>
            <w:pPr>
              <w:adjustRightInd w:val="0"/>
              <w:snapToGrid w:val="0"/>
              <w:spacing w:line="360" w:lineRule="auto"/>
              <w:ind w:firstLine="420" w:firstLineChars="200"/>
              <w:rPr>
                <w:rFonts w:hint="eastAsia" w:ascii="宋体" w:hAnsi="宋体" w:cs="宋体"/>
              </w:rPr>
            </w:pPr>
          </w:p>
        </w:tc>
        <w:tc>
          <w:tcPr>
            <w:tcW w:w="872"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83</w:t>
            </w:r>
          </w:p>
        </w:tc>
        <w:tc>
          <w:tcPr>
            <w:tcW w:w="854" w:type="dxa"/>
            <w:gridSpan w:val="2"/>
          </w:tcPr>
          <w:p>
            <w:pPr>
              <w:adjustRightInd w:val="0"/>
              <w:snapToGrid w:val="0"/>
              <w:spacing w:line="360" w:lineRule="auto"/>
              <w:ind w:firstLine="420" w:firstLineChars="200"/>
              <w:rPr>
                <w:rFonts w:hint="eastAsia" w:ascii="宋体" w:hAnsi="宋体" w:cs="宋体"/>
              </w:rPr>
            </w:pPr>
            <w:r>
              <w:rPr>
                <w:rFonts w:hint="eastAsia" w:ascii="宋体" w:hAnsi="宋体" w:cs="宋体"/>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69"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120-140</w:t>
            </w:r>
          </w:p>
        </w:tc>
        <w:tc>
          <w:tcPr>
            <w:tcW w:w="570"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141</w:t>
            </w:r>
          </w:p>
        </w:tc>
        <w:tc>
          <w:tcPr>
            <w:tcW w:w="744"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1</w:t>
            </w:r>
          </w:p>
        </w:tc>
        <w:tc>
          <w:tcPr>
            <w:tcW w:w="1105"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131</w:t>
            </w:r>
          </w:p>
        </w:tc>
        <w:tc>
          <w:tcPr>
            <w:tcW w:w="1035"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7</w:t>
            </w:r>
          </w:p>
        </w:tc>
        <w:tc>
          <w:tcPr>
            <w:tcW w:w="1023"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1</w:t>
            </w:r>
          </w:p>
        </w:tc>
        <w:tc>
          <w:tcPr>
            <w:tcW w:w="1116"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1</w:t>
            </w:r>
          </w:p>
        </w:tc>
        <w:tc>
          <w:tcPr>
            <w:tcW w:w="1000" w:type="dxa"/>
          </w:tcPr>
          <w:p>
            <w:pPr>
              <w:adjustRightInd w:val="0"/>
              <w:snapToGrid w:val="0"/>
              <w:spacing w:line="360" w:lineRule="auto"/>
              <w:ind w:firstLine="420" w:firstLineChars="200"/>
              <w:rPr>
                <w:rFonts w:hint="eastAsia" w:ascii="宋体" w:hAnsi="宋体" w:cs="宋体"/>
              </w:rPr>
            </w:pPr>
          </w:p>
        </w:tc>
        <w:tc>
          <w:tcPr>
            <w:tcW w:w="803" w:type="dxa"/>
          </w:tcPr>
          <w:p>
            <w:pPr>
              <w:adjustRightInd w:val="0"/>
              <w:snapToGrid w:val="0"/>
              <w:spacing w:line="360" w:lineRule="auto"/>
              <w:ind w:firstLine="420" w:firstLineChars="200"/>
              <w:rPr>
                <w:rFonts w:hint="eastAsia" w:ascii="宋体" w:hAnsi="宋体" w:cs="宋体"/>
              </w:rPr>
            </w:pPr>
          </w:p>
        </w:tc>
        <w:tc>
          <w:tcPr>
            <w:tcW w:w="872"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120</w:t>
            </w:r>
          </w:p>
        </w:tc>
        <w:tc>
          <w:tcPr>
            <w:tcW w:w="854" w:type="dxa"/>
            <w:gridSpan w:val="2"/>
          </w:tcPr>
          <w:p>
            <w:pPr>
              <w:adjustRightInd w:val="0"/>
              <w:snapToGrid w:val="0"/>
              <w:spacing w:line="360" w:lineRule="auto"/>
              <w:ind w:firstLine="420" w:firstLineChars="200"/>
              <w:rPr>
                <w:rFonts w:hint="eastAsia" w:ascii="宋体" w:hAnsi="宋体" w:cs="宋体"/>
              </w:rPr>
            </w:pPr>
            <w:r>
              <w:rPr>
                <w:rFonts w:hint="eastAsia" w:ascii="宋体" w:hAnsi="宋体" w:cs="宋体"/>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69"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140-160</w:t>
            </w:r>
          </w:p>
        </w:tc>
        <w:tc>
          <w:tcPr>
            <w:tcW w:w="570"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129</w:t>
            </w:r>
          </w:p>
        </w:tc>
        <w:tc>
          <w:tcPr>
            <w:tcW w:w="744" w:type="dxa"/>
          </w:tcPr>
          <w:p>
            <w:pPr>
              <w:adjustRightInd w:val="0"/>
              <w:snapToGrid w:val="0"/>
              <w:spacing w:line="360" w:lineRule="auto"/>
              <w:ind w:firstLine="420" w:firstLineChars="200"/>
              <w:rPr>
                <w:rFonts w:hint="eastAsia" w:ascii="宋体" w:hAnsi="宋体" w:cs="宋体"/>
              </w:rPr>
            </w:pPr>
          </w:p>
        </w:tc>
        <w:tc>
          <w:tcPr>
            <w:tcW w:w="1105"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122</w:t>
            </w:r>
          </w:p>
        </w:tc>
        <w:tc>
          <w:tcPr>
            <w:tcW w:w="1035"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5</w:t>
            </w:r>
          </w:p>
        </w:tc>
        <w:tc>
          <w:tcPr>
            <w:tcW w:w="1023" w:type="dxa"/>
          </w:tcPr>
          <w:p>
            <w:pPr>
              <w:adjustRightInd w:val="0"/>
              <w:snapToGrid w:val="0"/>
              <w:spacing w:line="360" w:lineRule="auto"/>
              <w:ind w:firstLine="420" w:firstLineChars="200"/>
              <w:rPr>
                <w:rFonts w:hint="eastAsia" w:ascii="宋体" w:hAnsi="宋体" w:cs="宋体"/>
              </w:rPr>
            </w:pPr>
          </w:p>
        </w:tc>
        <w:tc>
          <w:tcPr>
            <w:tcW w:w="1116"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2</w:t>
            </w:r>
          </w:p>
        </w:tc>
        <w:tc>
          <w:tcPr>
            <w:tcW w:w="1000" w:type="dxa"/>
          </w:tcPr>
          <w:p>
            <w:pPr>
              <w:adjustRightInd w:val="0"/>
              <w:snapToGrid w:val="0"/>
              <w:spacing w:line="360" w:lineRule="auto"/>
              <w:ind w:firstLine="420" w:firstLineChars="200"/>
              <w:rPr>
                <w:rFonts w:hint="eastAsia" w:ascii="宋体" w:hAnsi="宋体" w:cs="宋体"/>
              </w:rPr>
            </w:pPr>
          </w:p>
        </w:tc>
        <w:tc>
          <w:tcPr>
            <w:tcW w:w="803" w:type="dxa"/>
          </w:tcPr>
          <w:p>
            <w:pPr>
              <w:adjustRightInd w:val="0"/>
              <w:snapToGrid w:val="0"/>
              <w:spacing w:line="360" w:lineRule="auto"/>
              <w:ind w:firstLine="420" w:firstLineChars="200"/>
              <w:rPr>
                <w:rFonts w:hint="eastAsia" w:ascii="宋体" w:hAnsi="宋体" w:cs="宋体"/>
              </w:rPr>
            </w:pPr>
          </w:p>
        </w:tc>
        <w:tc>
          <w:tcPr>
            <w:tcW w:w="872"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121</w:t>
            </w:r>
          </w:p>
        </w:tc>
        <w:tc>
          <w:tcPr>
            <w:tcW w:w="854" w:type="dxa"/>
            <w:gridSpan w:val="2"/>
          </w:tcPr>
          <w:p>
            <w:pPr>
              <w:adjustRightInd w:val="0"/>
              <w:snapToGrid w:val="0"/>
              <w:spacing w:line="360" w:lineRule="auto"/>
              <w:ind w:firstLine="420" w:firstLineChars="200"/>
              <w:rPr>
                <w:rFonts w:hint="eastAsia" w:ascii="宋体" w:hAnsi="宋体" w:cs="宋体"/>
              </w:rPr>
            </w:pPr>
            <w:r>
              <w:rPr>
                <w:rFonts w:hint="eastAsia" w:ascii="宋体" w:hAnsi="宋体" w:cs="宋体"/>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69"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160-180</w:t>
            </w:r>
          </w:p>
        </w:tc>
        <w:tc>
          <w:tcPr>
            <w:tcW w:w="570"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77</w:t>
            </w:r>
          </w:p>
        </w:tc>
        <w:tc>
          <w:tcPr>
            <w:tcW w:w="744" w:type="dxa"/>
          </w:tcPr>
          <w:p>
            <w:pPr>
              <w:adjustRightInd w:val="0"/>
              <w:snapToGrid w:val="0"/>
              <w:spacing w:line="360" w:lineRule="auto"/>
              <w:ind w:firstLine="420" w:firstLineChars="200"/>
              <w:rPr>
                <w:rFonts w:hint="eastAsia" w:ascii="宋体" w:hAnsi="宋体" w:cs="宋体"/>
              </w:rPr>
            </w:pPr>
          </w:p>
        </w:tc>
        <w:tc>
          <w:tcPr>
            <w:tcW w:w="1105"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62</w:t>
            </w:r>
          </w:p>
        </w:tc>
        <w:tc>
          <w:tcPr>
            <w:tcW w:w="1035"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13</w:t>
            </w:r>
          </w:p>
        </w:tc>
        <w:tc>
          <w:tcPr>
            <w:tcW w:w="1023"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1</w:t>
            </w:r>
          </w:p>
        </w:tc>
        <w:tc>
          <w:tcPr>
            <w:tcW w:w="1116"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1</w:t>
            </w:r>
          </w:p>
        </w:tc>
        <w:tc>
          <w:tcPr>
            <w:tcW w:w="1000" w:type="dxa"/>
          </w:tcPr>
          <w:p>
            <w:pPr>
              <w:adjustRightInd w:val="0"/>
              <w:snapToGrid w:val="0"/>
              <w:spacing w:line="360" w:lineRule="auto"/>
              <w:ind w:firstLine="420" w:firstLineChars="200"/>
              <w:rPr>
                <w:rFonts w:hint="eastAsia" w:ascii="宋体" w:hAnsi="宋体" w:cs="宋体"/>
              </w:rPr>
            </w:pPr>
          </w:p>
        </w:tc>
        <w:tc>
          <w:tcPr>
            <w:tcW w:w="803" w:type="dxa"/>
          </w:tcPr>
          <w:p>
            <w:pPr>
              <w:adjustRightInd w:val="0"/>
              <w:snapToGrid w:val="0"/>
              <w:spacing w:line="360" w:lineRule="auto"/>
              <w:ind w:firstLine="420" w:firstLineChars="200"/>
              <w:rPr>
                <w:rFonts w:hint="eastAsia" w:ascii="宋体" w:hAnsi="宋体" w:cs="宋体"/>
              </w:rPr>
            </w:pPr>
          </w:p>
        </w:tc>
        <w:tc>
          <w:tcPr>
            <w:tcW w:w="872"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68</w:t>
            </w:r>
          </w:p>
        </w:tc>
        <w:tc>
          <w:tcPr>
            <w:tcW w:w="854" w:type="dxa"/>
            <w:gridSpan w:val="2"/>
          </w:tcPr>
          <w:p>
            <w:pPr>
              <w:adjustRightInd w:val="0"/>
              <w:snapToGrid w:val="0"/>
              <w:spacing w:line="360" w:lineRule="auto"/>
              <w:ind w:firstLine="420" w:firstLineChars="200"/>
              <w:rPr>
                <w:rFonts w:hint="eastAsia" w:ascii="宋体" w:hAnsi="宋体" w:cs="宋体"/>
              </w:rPr>
            </w:pPr>
            <w:r>
              <w:rPr>
                <w:rFonts w:hint="eastAsia" w:ascii="宋体" w:hAnsi="宋体" w:cs="宋体"/>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69"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180-200</w:t>
            </w:r>
          </w:p>
        </w:tc>
        <w:tc>
          <w:tcPr>
            <w:tcW w:w="570"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64</w:t>
            </w:r>
          </w:p>
        </w:tc>
        <w:tc>
          <w:tcPr>
            <w:tcW w:w="744" w:type="dxa"/>
          </w:tcPr>
          <w:p>
            <w:pPr>
              <w:adjustRightInd w:val="0"/>
              <w:snapToGrid w:val="0"/>
              <w:spacing w:line="360" w:lineRule="auto"/>
              <w:ind w:firstLine="420" w:firstLineChars="200"/>
              <w:rPr>
                <w:rFonts w:hint="eastAsia" w:ascii="宋体" w:hAnsi="宋体" w:cs="宋体"/>
              </w:rPr>
            </w:pPr>
          </w:p>
        </w:tc>
        <w:tc>
          <w:tcPr>
            <w:tcW w:w="1105"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2</w:t>
            </w:r>
          </w:p>
        </w:tc>
        <w:tc>
          <w:tcPr>
            <w:tcW w:w="1035"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60</w:t>
            </w:r>
          </w:p>
        </w:tc>
        <w:tc>
          <w:tcPr>
            <w:tcW w:w="1023"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2</w:t>
            </w:r>
          </w:p>
        </w:tc>
        <w:tc>
          <w:tcPr>
            <w:tcW w:w="1116" w:type="dxa"/>
          </w:tcPr>
          <w:p>
            <w:pPr>
              <w:adjustRightInd w:val="0"/>
              <w:snapToGrid w:val="0"/>
              <w:spacing w:line="360" w:lineRule="auto"/>
              <w:ind w:firstLine="420" w:firstLineChars="200"/>
              <w:rPr>
                <w:rFonts w:hint="eastAsia" w:ascii="宋体" w:hAnsi="宋体" w:cs="宋体"/>
              </w:rPr>
            </w:pPr>
          </w:p>
        </w:tc>
        <w:tc>
          <w:tcPr>
            <w:tcW w:w="1000" w:type="dxa"/>
          </w:tcPr>
          <w:p>
            <w:pPr>
              <w:adjustRightInd w:val="0"/>
              <w:snapToGrid w:val="0"/>
              <w:spacing w:line="360" w:lineRule="auto"/>
              <w:ind w:firstLine="420" w:firstLineChars="200"/>
              <w:rPr>
                <w:rFonts w:hint="eastAsia" w:ascii="宋体" w:hAnsi="宋体" w:cs="宋体"/>
              </w:rPr>
            </w:pPr>
          </w:p>
        </w:tc>
        <w:tc>
          <w:tcPr>
            <w:tcW w:w="803" w:type="dxa"/>
          </w:tcPr>
          <w:p>
            <w:pPr>
              <w:adjustRightInd w:val="0"/>
              <w:snapToGrid w:val="0"/>
              <w:spacing w:line="360" w:lineRule="auto"/>
              <w:ind w:firstLine="420" w:firstLineChars="200"/>
              <w:rPr>
                <w:rFonts w:hint="eastAsia" w:ascii="宋体" w:hAnsi="宋体" w:cs="宋体"/>
              </w:rPr>
            </w:pPr>
          </w:p>
        </w:tc>
        <w:tc>
          <w:tcPr>
            <w:tcW w:w="872"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54</w:t>
            </w:r>
          </w:p>
        </w:tc>
        <w:tc>
          <w:tcPr>
            <w:tcW w:w="854" w:type="dxa"/>
            <w:gridSpan w:val="2"/>
          </w:tcPr>
          <w:p>
            <w:pPr>
              <w:adjustRightInd w:val="0"/>
              <w:snapToGrid w:val="0"/>
              <w:spacing w:line="360" w:lineRule="auto"/>
              <w:ind w:firstLine="420" w:firstLineChars="200"/>
              <w:rPr>
                <w:rFonts w:hint="eastAsia" w:ascii="宋体" w:hAnsi="宋体" w:cs="宋体"/>
              </w:rPr>
            </w:pPr>
            <w:r>
              <w:rPr>
                <w:rFonts w:hint="eastAsia" w:ascii="宋体" w:hAnsi="宋体" w:cs="宋体"/>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69"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200-300</w:t>
            </w:r>
          </w:p>
        </w:tc>
        <w:tc>
          <w:tcPr>
            <w:tcW w:w="570"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100</w:t>
            </w:r>
          </w:p>
        </w:tc>
        <w:tc>
          <w:tcPr>
            <w:tcW w:w="744" w:type="dxa"/>
          </w:tcPr>
          <w:p>
            <w:pPr>
              <w:adjustRightInd w:val="0"/>
              <w:snapToGrid w:val="0"/>
              <w:spacing w:line="360" w:lineRule="auto"/>
              <w:ind w:firstLine="420" w:firstLineChars="200"/>
              <w:rPr>
                <w:rFonts w:hint="eastAsia" w:ascii="宋体" w:hAnsi="宋体" w:cs="宋体"/>
              </w:rPr>
            </w:pPr>
          </w:p>
        </w:tc>
        <w:tc>
          <w:tcPr>
            <w:tcW w:w="1105"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2</w:t>
            </w:r>
          </w:p>
        </w:tc>
        <w:tc>
          <w:tcPr>
            <w:tcW w:w="1035"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72</w:t>
            </w:r>
          </w:p>
        </w:tc>
        <w:tc>
          <w:tcPr>
            <w:tcW w:w="1023"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22</w:t>
            </w:r>
          </w:p>
        </w:tc>
        <w:tc>
          <w:tcPr>
            <w:tcW w:w="1116"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4</w:t>
            </w:r>
          </w:p>
        </w:tc>
        <w:tc>
          <w:tcPr>
            <w:tcW w:w="1000" w:type="dxa"/>
          </w:tcPr>
          <w:p>
            <w:pPr>
              <w:adjustRightInd w:val="0"/>
              <w:snapToGrid w:val="0"/>
              <w:spacing w:line="360" w:lineRule="auto"/>
              <w:ind w:firstLine="420" w:firstLineChars="200"/>
              <w:rPr>
                <w:rFonts w:hint="eastAsia" w:ascii="宋体" w:hAnsi="宋体" w:cs="宋体"/>
              </w:rPr>
            </w:pPr>
          </w:p>
        </w:tc>
        <w:tc>
          <w:tcPr>
            <w:tcW w:w="803" w:type="dxa"/>
          </w:tcPr>
          <w:p>
            <w:pPr>
              <w:adjustRightInd w:val="0"/>
              <w:snapToGrid w:val="0"/>
              <w:spacing w:line="360" w:lineRule="auto"/>
              <w:ind w:firstLine="420" w:firstLineChars="200"/>
              <w:rPr>
                <w:rFonts w:hint="eastAsia" w:ascii="宋体" w:hAnsi="宋体" w:cs="宋体"/>
              </w:rPr>
            </w:pPr>
          </w:p>
        </w:tc>
        <w:tc>
          <w:tcPr>
            <w:tcW w:w="872"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58</w:t>
            </w:r>
          </w:p>
        </w:tc>
        <w:tc>
          <w:tcPr>
            <w:tcW w:w="854" w:type="dxa"/>
            <w:gridSpan w:val="2"/>
          </w:tcPr>
          <w:p>
            <w:pPr>
              <w:adjustRightInd w:val="0"/>
              <w:snapToGrid w:val="0"/>
              <w:spacing w:line="360" w:lineRule="auto"/>
              <w:ind w:firstLine="420" w:firstLineChars="200"/>
              <w:rPr>
                <w:rFonts w:hint="eastAsia" w:ascii="宋体" w:hAnsi="宋体" w:cs="宋体"/>
              </w:rPr>
            </w:pPr>
            <w:r>
              <w:rPr>
                <w:rFonts w:hint="eastAsia" w:ascii="宋体" w:hAnsi="宋体" w:cs="宋体"/>
              </w:rPr>
              <w:t>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69"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300以上</w:t>
            </w:r>
          </w:p>
        </w:tc>
        <w:tc>
          <w:tcPr>
            <w:tcW w:w="570"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10</w:t>
            </w:r>
          </w:p>
        </w:tc>
        <w:tc>
          <w:tcPr>
            <w:tcW w:w="744" w:type="dxa"/>
          </w:tcPr>
          <w:p>
            <w:pPr>
              <w:adjustRightInd w:val="0"/>
              <w:snapToGrid w:val="0"/>
              <w:spacing w:line="360" w:lineRule="auto"/>
              <w:ind w:firstLine="420" w:firstLineChars="200"/>
              <w:rPr>
                <w:rFonts w:hint="eastAsia" w:ascii="宋体" w:hAnsi="宋体" w:cs="宋体"/>
              </w:rPr>
            </w:pPr>
          </w:p>
        </w:tc>
        <w:tc>
          <w:tcPr>
            <w:tcW w:w="1105" w:type="dxa"/>
          </w:tcPr>
          <w:p>
            <w:pPr>
              <w:adjustRightInd w:val="0"/>
              <w:snapToGrid w:val="0"/>
              <w:spacing w:line="360" w:lineRule="auto"/>
              <w:ind w:firstLine="420" w:firstLineChars="200"/>
              <w:rPr>
                <w:rFonts w:hint="eastAsia" w:ascii="宋体" w:hAnsi="宋体" w:cs="宋体"/>
              </w:rPr>
            </w:pPr>
          </w:p>
        </w:tc>
        <w:tc>
          <w:tcPr>
            <w:tcW w:w="1035"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1</w:t>
            </w:r>
          </w:p>
        </w:tc>
        <w:tc>
          <w:tcPr>
            <w:tcW w:w="1023"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4</w:t>
            </w:r>
          </w:p>
        </w:tc>
        <w:tc>
          <w:tcPr>
            <w:tcW w:w="1116"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3</w:t>
            </w:r>
          </w:p>
        </w:tc>
        <w:tc>
          <w:tcPr>
            <w:tcW w:w="1000"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1</w:t>
            </w:r>
          </w:p>
        </w:tc>
        <w:tc>
          <w:tcPr>
            <w:tcW w:w="803"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1</w:t>
            </w:r>
          </w:p>
        </w:tc>
        <w:tc>
          <w:tcPr>
            <w:tcW w:w="872"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1</w:t>
            </w:r>
          </w:p>
        </w:tc>
        <w:tc>
          <w:tcPr>
            <w:tcW w:w="854" w:type="dxa"/>
            <w:gridSpan w:val="2"/>
          </w:tcPr>
          <w:p>
            <w:pPr>
              <w:adjustRightInd w:val="0"/>
              <w:snapToGrid w:val="0"/>
              <w:spacing w:line="360" w:lineRule="auto"/>
              <w:ind w:firstLine="420" w:firstLineChars="200"/>
              <w:rPr>
                <w:rFonts w:hint="eastAsia" w:ascii="宋体" w:hAnsi="宋体" w:cs="宋体"/>
              </w:rPr>
            </w:pPr>
            <w:r>
              <w:rPr>
                <w:rFonts w:hint="eastAsia" w:ascii="宋体" w:hAnsi="宋体" w:cs="宋体"/>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69"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总数</w:t>
            </w:r>
          </w:p>
        </w:tc>
        <w:tc>
          <w:tcPr>
            <w:tcW w:w="570"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721</w:t>
            </w:r>
          </w:p>
        </w:tc>
        <w:tc>
          <w:tcPr>
            <w:tcW w:w="744"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17</w:t>
            </w:r>
          </w:p>
        </w:tc>
        <w:tc>
          <w:tcPr>
            <w:tcW w:w="1105"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491</w:t>
            </w:r>
          </w:p>
        </w:tc>
        <w:tc>
          <w:tcPr>
            <w:tcW w:w="1035"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167</w:t>
            </w:r>
          </w:p>
        </w:tc>
        <w:tc>
          <w:tcPr>
            <w:tcW w:w="1023"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32</w:t>
            </w:r>
          </w:p>
        </w:tc>
        <w:tc>
          <w:tcPr>
            <w:tcW w:w="1116"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12</w:t>
            </w:r>
          </w:p>
        </w:tc>
        <w:tc>
          <w:tcPr>
            <w:tcW w:w="1000"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1</w:t>
            </w:r>
          </w:p>
        </w:tc>
        <w:tc>
          <w:tcPr>
            <w:tcW w:w="803"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1</w:t>
            </w:r>
          </w:p>
        </w:tc>
        <w:tc>
          <w:tcPr>
            <w:tcW w:w="872"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565</w:t>
            </w:r>
          </w:p>
        </w:tc>
        <w:tc>
          <w:tcPr>
            <w:tcW w:w="854" w:type="dxa"/>
            <w:gridSpan w:val="2"/>
          </w:tcPr>
          <w:p>
            <w:pPr>
              <w:adjustRightInd w:val="0"/>
              <w:snapToGrid w:val="0"/>
              <w:spacing w:line="360" w:lineRule="auto"/>
              <w:ind w:firstLine="420" w:firstLineChars="200"/>
              <w:rPr>
                <w:rFonts w:hint="eastAsia" w:ascii="宋体" w:hAnsi="宋体" w:cs="宋体"/>
              </w:rPr>
            </w:pPr>
            <w:r>
              <w:rPr>
                <w:rFonts w:hint="eastAsia" w:ascii="宋体" w:hAnsi="宋体" w:cs="宋体"/>
              </w:rPr>
              <w:t>139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trPr>
        <w:tc>
          <w:tcPr>
            <w:tcW w:w="1069"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占比%</w:t>
            </w:r>
          </w:p>
        </w:tc>
        <w:tc>
          <w:tcPr>
            <w:tcW w:w="570" w:type="dxa"/>
          </w:tcPr>
          <w:p>
            <w:pPr>
              <w:adjustRightInd w:val="0"/>
              <w:snapToGrid w:val="0"/>
              <w:spacing w:line="360" w:lineRule="auto"/>
              <w:ind w:firstLine="420" w:firstLineChars="200"/>
              <w:rPr>
                <w:rFonts w:hint="eastAsia" w:ascii="宋体" w:hAnsi="宋体" w:cs="宋体"/>
              </w:rPr>
            </w:pPr>
          </w:p>
        </w:tc>
        <w:tc>
          <w:tcPr>
            <w:tcW w:w="744"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2.36</w:t>
            </w:r>
          </w:p>
        </w:tc>
        <w:tc>
          <w:tcPr>
            <w:tcW w:w="1105"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68．10</w:t>
            </w:r>
          </w:p>
        </w:tc>
        <w:tc>
          <w:tcPr>
            <w:tcW w:w="1035"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23.16</w:t>
            </w:r>
          </w:p>
        </w:tc>
        <w:tc>
          <w:tcPr>
            <w:tcW w:w="1023"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4.44</w:t>
            </w:r>
          </w:p>
        </w:tc>
        <w:tc>
          <w:tcPr>
            <w:tcW w:w="1116"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1.66</w:t>
            </w:r>
          </w:p>
        </w:tc>
        <w:tc>
          <w:tcPr>
            <w:tcW w:w="1000"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0.14</w:t>
            </w:r>
          </w:p>
        </w:tc>
        <w:tc>
          <w:tcPr>
            <w:tcW w:w="803"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0.14</w:t>
            </w:r>
          </w:p>
        </w:tc>
        <w:tc>
          <w:tcPr>
            <w:tcW w:w="872"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78.4</w:t>
            </w:r>
          </w:p>
        </w:tc>
        <w:tc>
          <w:tcPr>
            <w:tcW w:w="854" w:type="dxa"/>
            <w:gridSpan w:val="2"/>
          </w:tcPr>
          <w:p>
            <w:pPr>
              <w:adjustRightInd w:val="0"/>
              <w:snapToGrid w:val="0"/>
              <w:spacing w:line="360" w:lineRule="auto"/>
              <w:ind w:firstLine="420" w:firstLineChars="200"/>
              <w:rPr>
                <w:rFonts w:hint="eastAsia" w:ascii="宋体" w:hAnsi="宋体" w:cs="宋体"/>
              </w:rPr>
            </w:pPr>
            <w:r>
              <w:rPr>
                <w:rFonts w:hint="eastAsia" w:ascii="宋体" w:hAnsi="宋体" w:cs="宋体"/>
              </w:rPr>
              <w:t>19.28</w:t>
            </w:r>
          </w:p>
        </w:tc>
      </w:tr>
    </w:tbl>
    <w:p>
      <w:pPr>
        <w:adjustRightInd w:val="0"/>
        <w:snapToGrid w:val="0"/>
        <w:spacing w:line="360" w:lineRule="auto"/>
        <w:ind w:firstLine="420" w:firstLineChars="200"/>
        <w:rPr>
          <w:rFonts w:hint="eastAsia" w:ascii="宋体" w:hAnsi="宋体" w:cs="宋体"/>
        </w:rPr>
      </w:pPr>
      <w:r>
        <w:rPr>
          <w:rFonts w:hint="eastAsia" w:ascii="宋体" w:hAnsi="宋体" w:cs="宋体"/>
        </w:rPr>
        <w:t>表7:1000件抽样案件中不起诉案件酒精含量分布表</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4"/>
        <w:gridCol w:w="1348"/>
        <w:gridCol w:w="1333"/>
        <w:gridCol w:w="1412"/>
        <w:gridCol w:w="16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1494"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酒精含量</w:t>
            </w:r>
          </w:p>
        </w:tc>
        <w:tc>
          <w:tcPr>
            <w:tcW w:w="1348"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80-100</w:t>
            </w:r>
          </w:p>
        </w:tc>
        <w:tc>
          <w:tcPr>
            <w:tcW w:w="1333"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100-120</w:t>
            </w:r>
          </w:p>
        </w:tc>
        <w:tc>
          <w:tcPr>
            <w:tcW w:w="1412"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120-140</w:t>
            </w:r>
          </w:p>
        </w:tc>
        <w:tc>
          <w:tcPr>
            <w:tcW w:w="1693"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1494"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总279</w:t>
            </w:r>
          </w:p>
        </w:tc>
        <w:tc>
          <w:tcPr>
            <w:tcW w:w="1348"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143</w:t>
            </w:r>
          </w:p>
        </w:tc>
        <w:tc>
          <w:tcPr>
            <w:tcW w:w="1333"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100</w:t>
            </w:r>
          </w:p>
        </w:tc>
        <w:tc>
          <w:tcPr>
            <w:tcW w:w="1412"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34</w:t>
            </w:r>
          </w:p>
        </w:tc>
        <w:tc>
          <w:tcPr>
            <w:tcW w:w="1693"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1494"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占比%</w:t>
            </w:r>
          </w:p>
        </w:tc>
        <w:tc>
          <w:tcPr>
            <w:tcW w:w="1348"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51.25%</w:t>
            </w:r>
          </w:p>
        </w:tc>
        <w:tc>
          <w:tcPr>
            <w:tcW w:w="1333"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35.84%</w:t>
            </w:r>
          </w:p>
        </w:tc>
        <w:tc>
          <w:tcPr>
            <w:tcW w:w="1412"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12.19%</w:t>
            </w:r>
          </w:p>
        </w:tc>
        <w:tc>
          <w:tcPr>
            <w:tcW w:w="1693"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0.72%</w:t>
            </w:r>
          </w:p>
        </w:tc>
      </w:tr>
    </w:tbl>
    <w:p>
      <w:pPr>
        <w:adjustRightInd w:val="0"/>
        <w:snapToGrid w:val="0"/>
        <w:spacing w:line="360" w:lineRule="auto"/>
        <w:ind w:firstLine="422" w:firstLineChars="200"/>
        <w:rPr>
          <w:rFonts w:hint="eastAsia" w:ascii="宋体" w:hAnsi="宋体" w:cs="宋体"/>
          <w:b/>
          <w:bCs/>
        </w:rPr>
      </w:pPr>
      <w:r>
        <w:rPr>
          <w:rFonts w:hint="eastAsia" w:ascii="宋体" w:hAnsi="宋体" w:cs="宋体"/>
          <w:b/>
          <w:bCs/>
        </w:rPr>
        <w:t>三、风险刑法观与刑法谦抑论之博弈——“醉驾入刑”实际效果和主要争议实证</w:t>
      </w:r>
    </w:p>
    <w:p>
      <w:pPr>
        <w:adjustRightInd w:val="0"/>
        <w:snapToGrid w:val="0"/>
        <w:spacing w:line="360" w:lineRule="auto"/>
        <w:ind w:firstLine="420" w:firstLineChars="200"/>
        <w:rPr>
          <w:rFonts w:hint="eastAsia" w:ascii="宋体" w:hAnsi="宋体" w:cs="宋体"/>
        </w:rPr>
      </w:pPr>
      <w:r>
        <w:rPr>
          <w:rFonts w:hint="eastAsia" w:ascii="宋体" w:hAnsi="宋体" w:cs="宋体"/>
        </w:rPr>
        <w:t>“醉驾入刑”理论层面的争议自入刑之初就长期存在。传统刑法理论认为醉驾“一律入刑”有违刑法的谦抑性，认为单纯的尚未造成严重后果的醉驾驶行为是一种轻微的违法行为，行政手段即可以进行规制，无需上升到刑事责任。风险刑法理论认为“醉驾”导致的公共交通风险已严重威胁国民出行安全感和生活幸福感，刑法对抽象危险犯的规制以及规制力度的扩大是风险社会之下现代刑法发展的必然要求，《刑修（八）》有关“醉驾”的规定，是风险刑法在我国的最初确立，其地位不容忽视。可以说，现代风险刑法理论与传统刑法谦抑论这两种刑法理念之间的博弈，是醉驾“一律入刑”在理论层面的主要争议点。</w:t>
      </w:r>
    </w:p>
    <w:p>
      <w:pPr>
        <w:adjustRightInd w:val="0"/>
        <w:snapToGrid w:val="0"/>
        <w:spacing w:line="360" w:lineRule="auto"/>
        <w:ind w:firstLine="420" w:firstLineChars="200"/>
        <w:rPr>
          <w:rFonts w:hint="eastAsia" w:ascii="宋体" w:hAnsi="宋体" w:cs="宋体"/>
          <w:b/>
          <w:bCs/>
        </w:rPr>
      </w:pPr>
      <w:r>
        <w:rPr>
          <w:rFonts w:hint="eastAsia" w:ascii="宋体" w:hAnsi="宋体" w:cs="宋体"/>
        </w:rPr>
        <w:t>实践中产生极大争议的导火索在于，经过长达九年的实践，醉驾数不降反升并持续高位地在近几年一跃成为比重最大的刑事案件，“醉驾入刑”的立法目的和预期效果至少在直观数字上似乎远未达到，公众出行的安全感以及对刑罚威慑效果的认同感大幅降低，刑法的预防作用引起很大质疑。是否应该为了提升刑法威慑性而扩大刑法适用范围和力度，还是坚持刑法的最后手段性以防止一定社会人口里超过一定比例的人员被划入“罪犯”人群？在此基础之上，主要产生了两大阵营的争议：</w:t>
      </w:r>
      <w:r>
        <w:rPr>
          <w:rFonts w:hint="eastAsia" w:ascii="宋体" w:hAnsi="宋体" w:cs="宋体"/>
        </w:rPr>
        <w:cr/>
      </w:r>
      <w:r>
        <w:rPr>
          <w:rFonts w:hint="eastAsia" w:ascii="宋体" w:hAnsi="宋体" w:cs="宋体"/>
        </w:rPr>
        <w:t xml:space="preserve">   </w:t>
      </w:r>
      <w:r>
        <w:rPr>
          <w:rFonts w:hint="eastAsia" w:ascii="宋体" w:hAnsi="宋体" w:cs="宋体"/>
          <w:b/>
          <w:bCs/>
        </w:rPr>
        <w:t xml:space="preserve"> （一）坚持刑法谦抑性——“醉驾”一律“入刑”有违刑法谦抑性，负面效果显现。</w:t>
      </w:r>
    </w:p>
    <w:p>
      <w:pPr>
        <w:adjustRightInd w:val="0"/>
        <w:snapToGrid w:val="0"/>
        <w:spacing w:line="360" w:lineRule="auto"/>
        <w:ind w:firstLine="420" w:firstLineChars="200"/>
        <w:rPr>
          <w:rFonts w:hint="eastAsia" w:ascii="宋体" w:hAnsi="宋体" w:cs="宋体"/>
        </w:rPr>
      </w:pPr>
      <w:r>
        <w:rPr>
          <w:rFonts w:hint="eastAsia" w:ascii="宋体" w:hAnsi="宋体" w:cs="宋体"/>
        </w:rPr>
        <w:t>主要体现在以下几个方面：</w:t>
      </w:r>
    </w:p>
    <w:p>
      <w:pPr>
        <w:numPr>
          <w:ilvl w:val="0"/>
          <w:numId w:val="2"/>
        </w:numPr>
        <w:adjustRightInd w:val="0"/>
        <w:snapToGrid w:val="0"/>
        <w:spacing w:line="360" w:lineRule="auto"/>
        <w:ind w:firstLine="422" w:firstLineChars="200"/>
        <w:rPr>
          <w:rFonts w:hint="eastAsia" w:ascii="宋体" w:hAnsi="宋体" w:cs="宋体"/>
        </w:rPr>
      </w:pPr>
      <w:r>
        <w:rPr>
          <w:rFonts w:hint="eastAsia" w:ascii="宋体" w:hAnsi="宋体" w:cs="宋体"/>
          <w:b/>
          <w:bCs/>
        </w:rPr>
        <w:t>从“醉驾入刑”的立法背景来看，一律“入刑”有违刑法谦抑性。</w:t>
      </w:r>
      <w:r>
        <w:rPr>
          <w:rFonts w:hint="eastAsia" w:ascii="宋体" w:hAnsi="宋体" w:cs="宋体"/>
        </w:rPr>
        <w:t>现代风险社会之下，不断发展中的风险刑法理论强调将刑法手段由事后规制变为事前预防，由对法益的保护向对公民安全感的保护转变。这一理论基础符合“醉驾入刑”之初“国民处罚情感”高涨的社会现实，加上考虑到司法实践中的易操作性，这些都为当初“醉驾”一律“入刑”树立了正当理由。但在对适用刑法对醉驾行为进行“一刀切”规制的必要性尚未进行积极充分地论证的前提下，主要以回应国民强烈的“从严”呼声作为设置刑罚的理由，这一出发点本身就是仓促且伴随争议的。同时，风险刑法观最为显著的特点就是大量扩大刑法的规制范围和力度，这就必然导致刑事处罚的提前化和刑法干涉的普遍化</w:t>
      </w:r>
      <w:r>
        <w:rPr>
          <w:rStyle w:val="5"/>
          <w:rFonts w:hint="eastAsia"/>
        </w:rPr>
        <w:footnoteReference w:id="4"/>
      </w:r>
      <w:r>
        <w:rPr>
          <w:rFonts w:hint="eastAsia" w:ascii="宋体" w:hAnsi="宋体" w:cs="宋体"/>
        </w:rPr>
        <w:t>，将刑事处罚重心从具体的结果提前到抽象的行为本身，将部分可以由行政法规调整的行为纳入到了刑法的处罚范围，这显然是对传统刑法观尤其是刑法谦抑论的背离。刑罚作为法律领域最为严厉的制裁手段，往往意味着对犯罪分子人身自由、社会生活或者环境的剥夺，所以在适用刑法打击犯罪、保护法益的同时，必须谨慎考虑适用刑法的范围和力度，坚持刑法的最后手段性。</w:t>
      </w:r>
    </w:p>
    <w:p>
      <w:pPr>
        <w:numPr>
          <w:ilvl w:val="0"/>
          <w:numId w:val="3"/>
        </w:numPr>
        <w:adjustRightInd w:val="0"/>
        <w:snapToGrid w:val="0"/>
        <w:spacing w:line="360" w:lineRule="auto"/>
        <w:ind w:firstLine="422" w:firstLineChars="200"/>
        <w:rPr>
          <w:rFonts w:hint="eastAsia" w:ascii="宋体" w:hAnsi="宋体" w:cs="宋体"/>
        </w:rPr>
      </w:pPr>
      <w:r>
        <w:rPr>
          <w:rFonts w:hint="eastAsia" w:ascii="宋体" w:hAnsi="宋体" w:cs="宋体"/>
          <w:b/>
          <w:bCs/>
        </w:rPr>
        <w:t>从“醉驾入刑”的实践来看，持续高位的案件总数让本就紧缺的司法资源面临更大压力</w:t>
      </w:r>
      <w:r>
        <w:rPr>
          <w:rFonts w:hint="eastAsia" w:ascii="宋体" w:hAnsi="宋体" w:cs="宋体"/>
        </w:rPr>
        <w:t>。以顺德区司法实践为例，为应对醉驾案件性质最为简易、案件量占最多数这两个显著特征，在最大限度地协调分配办案人力资源、保证其他案件办理资源得到充分保障的情况下，我们自2019年9月1日开始进一步将办案资源向醉驾案件倾斜，专门设立了5个专业办理以占据绝对多数的醉驾案件为主的危害公共安全类犯罪的办案组，推行“集约化”办案模式和快速办结机制。在此情况之下，据粗略统计，每单醉驾案件的办结周期从原来全员随机分配模式下的约11天降低到现在的5天，实现了醉驾案件的“快进快出”，专业化的办案模式让办案质量也得到了提高。但即便在找到了办案模式最优解的情况之下，由于醉驾查处数的持续高位，据统计，目前每个醉驾办案组（“1名员额检察官+1名检察官助理+1名书记员”模式）月均受理醉驾案件为24件，“案多人少时间紧”的矛盾依然突出。而且，为进一步强化醉驾案件的办理效果，防止“不诉了之”从而放纵犯罪，我们自2020年6月开始试行的分级处理机制，针对120-140之间无其他从重情节的再引入“行为风险测评”，并考虑针对相对不起诉人员引入签署拒驾宣传“承诺书”和社会服务环节，导致此类案件的平均结案周期普遍又在原办案基础上增加两周不等，势必造成未来倾注在“醉驾”案件上的司法成本继续增加，让本就紧缺的司法资源面临更大压力。</w:t>
      </w:r>
    </w:p>
    <w:p>
      <w:pPr>
        <w:numPr>
          <w:ilvl w:val="0"/>
          <w:numId w:val="3"/>
        </w:numPr>
        <w:adjustRightInd w:val="0"/>
        <w:snapToGrid w:val="0"/>
        <w:spacing w:line="360" w:lineRule="auto"/>
        <w:ind w:firstLine="422" w:firstLineChars="200"/>
        <w:rPr>
          <w:rFonts w:hint="eastAsia" w:ascii="宋体" w:hAnsi="宋体" w:cs="宋体"/>
          <w:b/>
          <w:bCs/>
        </w:rPr>
      </w:pPr>
      <w:r>
        <w:rPr>
          <w:rFonts w:hint="eastAsia" w:ascii="宋体" w:hAnsi="宋体" w:cs="宋体"/>
          <w:b/>
          <w:bCs/>
        </w:rPr>
        <w:t>“醉驾“一律“入刑“的负面效果正在累积，防控风险的同时可能产生新的风险隐患。</w:t>
      </w:r>
      <w:r>
        <w:rPr>
          <w:rFonts w:hint="eastAsia" w:ascii="宋体" w:hAnsi="宋体" w:cs="宋体"/>
        </w:rPr>
        <w:t>“醉驾“一律”入刑“导致打击面过宽，打击人员比例过大，直接导致的负面后果是一定社会区域一定人口范围内”罪犯“比重的显著增加。以佛山市为例，自醉驾入刑至今9年里共27404人因醉驾被贴上”罪犯“标签，占到2011年至今全市全部犯罪人数的15.44%，接近普通盗窃犯罪的19.78%，从一个社会正常犯罪种类构成和犯罪率来说，因醉驾而被归入“罪犯”的人员比重明显过大。再以上述抽样调查得出的其中男性青壮年所占的97.5%的比例粗略计算可知，约有26719名男性青壮年因“醉驾”而从此终身带上罪犯标签，当这些作为社会主流中坚劳动力的人员被贴上“罪犯”标签，因此面临失业或者未来其个人就业或其子女求学求职乃至整个家庭受到影响的情况下，将给整个社会埋下新的风险隐患。随着越来越多的“醉驾“人员被推到了普通国民的对立面，无疑给未来社会的稳定性带来新的考验。</w:t>
      </w:r>
    </w:p>
    <w:p>
      <w:pPr>
        <w:adjustRightInd w:val="0"/>
        <w:snapToGrid w:val="0"/>
        <w:spacing w:line="360" w:lineRule="auto"/>
        <w:ind w:firstLine="422" w:firstLineChars="200"/>
        <w:rPr>
          <w:rFonts w:hint="eastAsia" w:ascii="宋体" w:hAnsi="宋体" w:cs="宋体"/>
        </w:rPr>
      </w:pPr>
      <w:r>
        <w:rPr>
          <w:rFonts w:hint="eastAsia" w:ascii="宋体" w:hAnsi="宋体" w:cs="宋体"/>
          <w:b/>
          <w:bCs/>
        </w:rPr>
        <w:t>4.围绕刑法谦抑性展开探索的司法实践。</w:t>
      </w:r>
      <w:r>
        <w:rPr>
          <w:rFonts w:hint="eastAsia" w:ascii="宋体" w:hAnsi="宋体" w:cs="宋体"/>
        </w:rPr>
        <w:t>目前各地先后出台的指导意见、会议纪要等来看，实务中各地的做法也主要围绕刑法的谦抑性对“醉驾”的刑罚规制标准和力度进行了精细化探索，具体表现为以下两点：</w:t>
      </w:r>
    </w:p>
    <w:p>
      <w:pPr>
        <w:numPr>
          <w:ilvl w:val="0"/>
          <w:numId w:val="4"/>
        </w:numPr>
        <w:adjustRightInd w:val="0"/>
        <w:snapToGrid w:val="0"/>
        <w:spacing w:line="360" w:lineRule="auto"/>
        <w:ind w:firstLine="422" w:firstLineChars="200"/>
        <w:rPr>
          <w:rFonts w:hint="eastAsia" w:ascii="宋体" w:hAnsi="宋体" w:cs="宋体"/>
        </w:rPr>
      </w:pPr>
      <w:r>
        <w:rPr>
          <w:rFonts w:hint="eastAsia" w:ascii="宋体" w:hAnsi="宋体" w:cs="宋体"/>
          <w:b/>
          <w:bCs/>
        </w:rPr>
        <w:t>入罪门槛有所提高。</w:t>
      </w:r>
      <w:r>
        <w:rPr>
          <w:rFonts w:hint="eastAsia" w:ascii="宋体" w:hAnsi="宋体" w:cs="宋体"/>
        </w:rPr>
        <w:t>以广东为例，目前广东省高院、省检察院、省公安厅联合起草了《关于规范办理醉酒驾驶刑事案件的指导意见（征求意见稿）》，这份《指导意见》现还在全省各级公检法征求意见阶段，尚未正式出台，但基本的原则和精神可以先拿来略窥一二。其中规定，对于①血液酒精含量在140mg/100mL以下（含140），不具有《指导意见》中规定的七种从重情节的，可以对其不起诉处理；也就是说对于普通的无一般从重情节的酒后驾驶，起诉标准由80mg/100mL提高到了140mg/100mL；②对于如路时特殊、短距挪车、主动放弃、刚启动尚未驶出、隔时驾驶、救助见义等特殊情形下酒驾，情节轻微又没有从重情节的，起诉标准更是提高到了160 mg/100mL。而浙江省在2019年10月8日已出台实施的《关于办理“醉驾”案件若干问题的会议纪要》中也对此作了类似的“从宽”规定：①醉驾汽车的，对于血液酒精含量低于100 mg/100mL且无纪要中列明的8种从重情节的，可以认为是情节显著轻微，不构成犯罪；低于170 mg/100mL且无此8种情节的，可以不起诉或免予刑事处罚；②醉驾摩托车的，情节上只要没有造成他人轻伤及以上后果，低于180 mg/100mL，即可以认为是情节显著轻微，不构成犯罪；低于200 mg/100mL，即可以不起诉或免予刑事处罚。</w:t>
      </w:r>
    </w:p>
    <w:p>
      <w:pPr>
        <w:numPr>
          <w:ilvl w:val="0"/>
          <w:numId w:val="4"/>
        </w:numPr>
        <w:adjustRightInd w:val="0"/>
        <w:snapToGrid w:val="0"/>
        <w:spacing w:line="360" w:lineRule="auto"/>
        <w:ind w:firstLine="422" w:firstLineChars="200"/>
        <w:rPr>
          <w:rFonts w:hint="eastAsia" w:ascii="宋体" w:hAnsi="宋体" w:cs="宋体"/>
        </w:rPr>
      </w:pPr>
      <w:r>
        <w:rPr>
          <w:rFonts w:hint="eastAsia" w:ascii="宋体" w:hAnsi="宋体" w:cs="宋体"/>
          <w:b/>
          <w:bCs/>
        </w:rPr>
        <w:t>情节标准更为严格。</w:t>
      </w:r>
      <w:r>
        <w:rPr>
          <w:rFonts w:hint="eastAsia" w:ascii="宋体" w:hAnsi="宋体" w:cs="宋体"/>
        </w:rPr>
        <w:t>从目前多地出台的具体指导意见、工作指引可知，除了在血液酒精含量上的标准提高之外，对于醉驾是否适用缓刑、是否可以不起诉等在情节上的考量标准也有所提高。在两高三部《关于办理醉酒驾驶机动车刑事案件适用法律若干问题的意见》中规定的法定八种从重情节的基础上，各地的意见中又规定了几种相对更为严格的从重情节，在考虑是否免予处罚、是否不起诉、是否缓刑或不作为犯罪处理时大多规定除了酒精含量要低于标准之外，还不能具有这些从重情节。如法定从重情节之一的“血液酒精含量达到200毫克/100毫升以上的”，在湖北出台的相关量刑指导意见中，在考虑是否适用缓刑时，将这一标准提高到不能达240毫克/100毫升以上；而“造成交通事故且负全部或主要责任”这一点在广东、浙江等地的指导意见中则还进一步要求“造成他人轻伤及以上后果”的则不能适用缓刑等。</w:t>
      </w:r>
    </w:p>
    <w:p>
      <w:pPr>
        <w:adjustRightInd w:val="0"/>
        <w:snapToGrid w:val="0"/>
        <w:spacing w:line="360" w:lineRule="auto"/>
        <w:ind w:firstLine="420" w:firstLineChars="200"/>
        <w:rPr>
          <w:rFonts w:hint="eastAsia" w:ascii="宋体" w:hAnsi="宋体" w:cs="宋体"/>
        </w:rPr>
      </w:pPr>
      <w:r>
        <w:rPr>
          <w:rFonts w:hint="eastAsia" w:ascii="宋体" w:hAnsi="宋体" w:cs="宋体"/>
        </w:rPr>
        <w:t>上述各地区探索性做法在一定程度上缓解了“一律入刑”造成的打击面过宽、案件压力过大的问题，但这些放宽了起诉标准、明确了一些“出罪”情形的指导意见、会议纪要等文件一经发布，便立马引起了更大的讨论和争议，国民要求“从严”“重典”的呼声更重。</w:t>
      </w:r>
    </w:p>
    <w:p>
      <w:pPr>
        <w:adjustRightInd w:val="0"/>
        <w:snapToGrid w:val="0"/>
        <w:spacing w:line="360" w:lineRule="auto"/>
        <w:ind w:firstLine="422" w:firstLineChars="200"/>
        <w:rPr>
          <w:rFonts w:hint="eastAsia" w:ascii="宋体" w:hAnsi="宋体" w:cs="宋体"/>
        </w:rPr>
      </w:pPr>
      <w:r>
        <w:rPr>
          <w:rFonts w:hint="eastAsia" w:ascii="宋体" w:hAnsi="宋体" w:cs="宋体"/>
          <w:b/>
          <w:bCs/>
        </w:rPr>
        <w:t>（二）坚持风险社会理论——持续高位的醉驾案发数增加社会出行风险，降低风险唯加大处罚力度、持续用重典。</w:t>
      </w:r>
    </w:p>
    <w:p>
      <w:pPr>
        <w:adjustRightInd w:val="0"/>
        <w:snapToGrid w:val="0"/>
        <w:spacing w:line="360" w:lineRule="auto"/>
        <w:ind w:firstLine="420" w:firstLineChars="200"/>
        <w:rPr>
          <w:rFonts w:hint="eastAsia" w:ascii="宋体" w:hAnsi="宋体" w:cs="宋体"/>
        </w:rPr>
      </w:pPr>
      <w:r>
        <w:rPr>
          <w:rFonts w:hint="eastAsia" w:ascii="宋体" w:hAnsi="宋体" w:cs="宋体"/>
        </w:rPr>
        <w:t>主要体现在以下几个方面：</w:t>
      </w:r>
    </w:p>
    <w:p>
      <w:pPr>
        <w:adjustRightInd w:val="0"/>
        <w:snapToGrid w:val="0"/>
        <w:spacing w:line="360" w:lineRule="auto"/>
        <w:ind w:firstLine="422" w:firstLineChars="200"/>
        <w:rPr>
          <w:rFonts w:hint="eastAsia" w:ascii="宋体" w:hAnsi="宋体" w:cs="宋体"/>
        </w:rPr>
      </w:pPr>
      <w:r>
        <w:rPr>
          <w:rFonts w:hint="eastAsia" w:ascii="宋体" w:hAnsi="宋体" w:cs="宋体"/>
          <w:b/>
          <w:bCs/>
        </w:rPr>
        <w:t>1.醉驾违法的价值观得到全面传播，但持续高位的数据令“入刑”的一般预防效果产生质疑。</w:t>
      </w:r>
      <w:r>
        <w:rPr>
          <w:rFonts w:hint="eastAsia" w:ascii="宋体" w:hAnsi="宋体" w:cs="宋体"/>
        </w:rPr>
        <w:t>借助刑事立法的手段，通过对犯罪行为设置刑罚和其他法律保障体系，在犯罪发生之前传达一种价值观，给社会公众以心理上的警示，进而达到预防犯罪的目的，这是刑法的一般预防功能。如前文所述，经调查，99%的醉驾犯罪嫌疑人在案发后表示知道醉驾将面临刑事责任，“喝酒不开车”的理念几乎达到了全民覆盖、无人不晓的程度，这无疑归功于“醉驾”的入刑，无论是“入刑”前后关于“醉驾”本身的讨论而引发的社会舆论大关注、大宣传所起的教育作用，还是“入刑”后执法司法力度的普遍加大而发挥的作用。但在“醉驾违法”理念传播度如此广泛以及保持了如此高频率查处的情况下，依然有人前赴后继心存侥幸地以身试法，“入刑”并未产生预期的威慑性从而达到全面避免犯罪普遍发生的目的，“越打越多”的醉驾案件数成为批判“醉驾入刑”效果的主要诟病之处。</w:t>
      </w:r>
      <w:r>
        <w:rPr>
          <w:rFonts w:hint="eastAsia" w:ascii="宋体" w:hAnsi="宋体" w:cs="宋体"/>
        </w:rPr>
        <w:cr/>
      </w:r>
      <w:r>
        <w:rPr>
          <w:rFonts w:hint="eastAsia" w:ascii="宋体" w:hAnsi="宋体" w:cs="宋体"/>
        </w:rPr>
        <w:t xml:space="preserve">    但这个数据并不能说明全部问题，如前所述，“醉驾入刑”对于防控和治理酒驾的积极作用是肯定的，而查处数和查处率的升高则仍受很多方面的因素所决定：①中国几千年来根深蒂固的“酒文化”仍主导着主流社交方式，导致饮酒人员基数居高不下，故导致酒后“冒险”驾驶的人员查了一波又来一波；②全国机动车保有量逐年提升，基数增大。据统计，“入刑”前即2010年时我国机动车保有量为2.07亿，而这个数据到2017年底为3.1亿，到2018年底为3.25亿，截至2019年6月30日则达到了3.4亿，机动车保有量的显著增加，意味着开车上路人员基数增加，也在一定程度上导致酒后驾驶被查处数增加；③在执法资源和查处技术不足的情况下（如闯红灯、超速等行为可以通过拍照、录像技术来监控，但目前对于酒驾仅能通过人为的设卡来查处），在危险驾驶犯里面，抱有投机和侥幸心理的罪犯明显多于其他犯罪，驾驶员一方面过于相信自己酒后的判断、控制和应变能力，另一方面也认为道路千万条，公安机关不可能刚好设卡查到自己要开的那一条而侥幸上路，这种“侥幸心理”的难以治理和消除，是导致醉驾“一查就多”的主要症结和治理难点；④在上述三个基础本就牢固难以消除的情况下，公安机关又逐年加大查处力度，将人力物力向醉驾犯罪倾斜，导致“越查越多”。</w:t>
      </w:r>
    </w:p>
    <w:p>
      <w:pPr>
        <w:adjustRightInd w:val="0"/>
        <w:snapToGrid w:val="0"/>
        <w:spacing w:line="360" w:lineRule="auto"/>
        <w:ind w:firstLine="422" w:firstLineChars="200"/>
        <w:rPr>
          <w:rFonts w:hint="eastAsia" w:ascii="宋体" w:hAnsi="宋体" w:cs="宋体"/>
        </w:rPr>
      </w:pPr>
      <w:r>
        <w:rPr>
          <w:rFonts w:hint="eastAsia" w:ascii="宋体" w:hAnsi="宋体" w:cs="宋体"/>
          <w:b/>
          <w:bCs/>
        </w:rPr>
        <w:t>2.特殊预防效果不彻底，“从严”的呼声高涨。</w:t>
      </w:r>
      <w:r>
        <w:rPr>
          <w:rFonts w:hint="eastAsia" w:ascii="宋体" w:hAnsi="宋体" w:cs="宋体"/>
        </w:rPr>
        <w:t>在抽样调查的1000件醉驾案件中，有饮酒前科的有22人，占2.2%；有醉酒前科的10人，再犯发生率仅有1%，入刑的特殊预防效果显著大于一般预防效果。这一方面说明在醉驾行为的规制上，行政处罚和刑罚均对预防二次酒驾、醉驾发挥了主要作用；另一方面，醉驾案件初犯绝大部分是基于无法被查获的侥幸心理，故一次现实的处罚非常有利于打消这种侥幸心理，预防再犯。再犯人员再犯的心理依然是侥幸心理，并不彻底的再犯杜绝率导致提倡用“重刑”、“从严”而非“从宽”以提升刑法威慑性，强化刑法预防效果的呼声重又高涨。但“一查就多”的现状说明在目前已经一律“入刑”的规制力度情况下，刑法对于侥幸心理的消除作用并没有达到预期，即便单方面继续加大刑罚力度，也可能无法从根本上消除这种侥幸心理，还是得从治理源头上解决打击方式单一从而达不到“令行禁止”效果的问题。</w:t>
      </w:r>
    </w:p>
    <w:p>
      <w:pPr>
        <w:adjustRightInd w:val="0"/>
        <w:snapToGrid w:val="0"/>
        <w:spacing w:line="360" w:lineRule="auto"/>
        <w:ind w:firstLine="422" w:firstLineChars="200"/>
        <w:rPr>
          <w:rFonts w:hint="eastAsia" w:ascii="宋体" w:hAnsi="宋体" w:cs="宋体"/>
        </w:rPr>
      </w:pPr>
      <w:r>
        <w:rPr>
          <w:rFonts w:hint="eastAsia" w:ascii="宋体" w:hAnsi="宋体" w:cs="宋体"/>
          <w:b/>
          <w:bCs/>
        </w:rPr>
        <w:t>3.司法实践中围绕谦抑性展开的做法缺乏配套处罚和治理体系，有可能进一步放纵犯罪，影响前期治理效果。</w:t>
      </w:r>
      <w:r>
        <w:rPr>
          <w:rFonts w:hint="eastAsia" w:ascii="宋体" w:hAnsi="宋体" w:cs="宋体"/>
        </w:rPr>
        <w:t>经统计，自2011年“醉驾入刑”以来，整个佛山地区总查获数25868人，共23622人被提起公诉，其中7690人被判处缓刑，270人被判处免刑，另有2246人被作出不起诉处理（99%为达到醉驾标准因情节轻微相对不起诉），未被追究刑事责任或未被判处实刑的人数比例达总醉驾人数的39.45%。加上自2018年以来，90%以上的醉驾犯罪嫌疑人是刑拘3天后转取保直诉（还包括部分直接取保直诉人员），其中又有接近一半的人被不起诉或判处免刑后直接“结案了之”，或被判处缓刑后“罚钱了之”，目前尚无后续配套处罚或治理手段，实际上真正能对犯罪人员起到特殊预防效果的“对人身自由的剥夺”的刑事拘留、拘役等实刑并未发生作用，导致预防再犯发生的效果有可能打折扣，有放纵犯罪的嫌疑，也影响前期治理效果。</w:t>
      </w:r>
    </w:p>
    <w:p>
      <w:pPr>
        <w:adjustRightInd w:val="0"/>
        <w:snapToGrid w:val="0"/>
        <w:spacing w:line="360" w:lineRule="auto"/>
        <w:ind w:firstLine="420" w:firstLineChars="200"/>
        <w:rPr>
          <w:rFonts w:hint="eastAsia" w:ascii="宋体" w:hAnsi="宋体" w:cs="宋体"/>
          <w:u w:val="single"/>
        </w:rPr>
      </w:pPr>
      <w:r>
        <w:rPr>
          <w:rFonts w:hint="eastAsia" w:ascii="宋体" w:hAnsi="宋体" w:cs="宋体"/>
          <w:u w:val="single"/>
        </w:rPr>
        <w:t>表：佛山市历年醉驾案件办结情况统计表：</w:t>
      </w:r>
    </w:p>
    <w:tbl>
      <w:tblPr>
        <w:tblStyle w:val="3"/>
        <w:tblW w:w="0" w:type="auto"/>
        <w:tblInd w:w="-26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8"/>
        <w:gridCol w:w="823"/>
        <w:gridCol w:w="823"/>
        <w:gridCol w:w="823"/>
        <w:gridCol w:w="823"/>
        <w:gridCol w:w="823"/>
        <w:gridCol w:w="823"/>
        <w:gridCol w:w="823"/>
        <w:gridCol w:w="823"/>
        <w:gridCol w:w="823"/>
        <w:gridCol w:w="13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8" w:type="dxa"/>
          </w:tcPr>
          <w:p>
            <w:pPr>
              <w:adjustRightInd w:val="0"/>
              <w:snapToGrid w:val="0"/>
              <w:spacing w:line="360" w:lineRule="auto"/>
              <w:ind w:firstLine="422" w:firstLineChars="200"/>
              <w:rPr>
                <w:rFonts w:hint="eastAsia" w:ascii="宋体" w:hAnsi="宋体" w:cs="宋体"/>
                <w:b/>
                <w:bCs/>
              </w:rPr>
            </w:pPr>
            <w:r>
              <w:rPr>
                <w:rFonts w:hint="eastAsia" w:ascii="宋体" w:hAnsi="宋体" w:cs="宋体"/>
                <w:b/>
                <w:bCs/>
              </w:rPr>
              <w:t>年度</w:t>
            </w:r>
          </w:p>
        </w:tc>
        <w:tc>
          <w:tcPr>
            <w:tcW w:w="823" w:type="dxa"/>
          </w:tcPr>
          <w:p>
            <w:pPr>
              <w:adjustRightInd w:val="0"/>
              <w:snapToGrid w:val="0"/>
              <w:spacing w:line="360" w:lineRule="auto"/>
              <w:ind w:firstLine="422" w:firstLineChars="200"/>
              <w:rPr>
                <w:rFonts w:hint="eastAsia" w:ascii="宋体" w:hAnsi="宋体" w:cs="宋体"/>
                <w:b/>
                <w:bCs/>
              </w:rPr>
            </w:pPr>
            <w:r>
              <w:rPr>
                <w:rFonts w:hint="eastAsia" w:ascii="宋体" w:hAnsi="宋体" w:cs="宋体"/>
                <w:b/>
                <w:bCs/>
              </w:rPr>
              <w:t>2011</w:t>
            </w:r>
          </w:p>
        </w:tc>
        <w:tc>
          <w:tcPr>
            <w:tcW w:w="823" w:type="dxa"/>
          </w:tcPr>
          <w:p>
            <w:pPr>
              <w:adjustRightInd w:val="0"/>
              <w:snapToGrid w:val="0"/>
              <w:spacing w:line="360" w:lineRule="auto"/>
              <w:ind w:firstLine="422" w:firstLineChars="200"/>
              <w:rPr>
                <w:rFonts w:hint="eastAsia" w:ascii="宋体" w:hAnsi="宋体" w:cs="宋体"/>
                <w:b/>
                <w:bCs/>
              </w:rPr>
            </w:pPr>
            <w:r>
              <w:rPr>
                <w:rFonts w:hint="eastAsia" w:ascii="宋体" w:hAnsi="宋体" w:cs="宋体"/>
                <w:b/>
                <w:bCs/>
              </w:rPr>
              <w:t>2012</w:t>
            </w:r>
          </w:p>
        </w:tc>
        <w:tc>
          <w:tcPr>
            <w:tcW w:w="823" w:type="dxa"/>
          </w:tcPr>
          <w:p>
            <w:pPr>
              <w:adjustRightInd w:val="0"/>
              <w:snapToGrid w:val="0"/>
              <w:spacing w:line="360" w:lineRule="auto"/>
              <w:ind w:firstLine="422" w:firstLineChars="200"/>
              <w:rPr>
                <w:rFonts w:hint="eastAsia" w:ascii="宋体" w:hAnsi="宋体" w:cs="宋体"/>
                <w:b/>
                <w:bCs/>
              </w:rPr>
            </w:pPr>
            <w:r>
              <w:rPr>
                <w:rFonts w:hint="eastAsia" w:ascii="宋体" w:hAnsi="宋体" w:cs="宋体"/>
                <w:b/>
                <w:bCs/>
              </w:rPr>
              <w:t>2013</w:t>
            </w:r>
          </w:p>
        </w:tc>
        <w:tc>
          <w:tcPr>
            <w:tcW w:w="823" w:type="dxa"/>
          </w:tcPr>
          <w:p>
            <w:pPr>
              <w:adjustRightInd w:val="0"/>
              <w:snapToGrid w:val="0"/>
              <w:spacing w:line="360" w:lineRule="auto"/>
              <w:ind w:firstLine="422" w:firstLineChars="200"/>
              <w:rPr>
                <w:rFonts w:hint="eastAsia" w:ascii="宋体" w:hAnsi="宋体" w:cs="宋体"/>
                <w:b/>
                <w:bCs/>
              </w:rPr>
            </w:pPr>
            <w:r>
              <w:rPr>
                <w:rFonts w:hint="eastAsia" w:ascii="宋体" w:hAnsi="宋体" w:cs="宋体"/>
                <w:b/>
                <w:bCs/>
              </w:rPr>
              <w:t>2014</w:t>
            </w:r>
          </w:p>
        </w:tc>
        <w:tc>
          <w:tcPr>
            <w:tcW w:w="823" w:type="dxa"/>
          </w:tcPr>
          <w:p>
            <w:pPr>
              <w:adjustRightInd w:val="0"/>
              <w:snapToGrid w:val="0"/>
              <w:spacing w:line="360" w:lineRule="auto"/>
              <w:ind w:firstLine="422" w:firstLineChars="200"/>
              <w:rPr>
                <w:rFonts w:hint="eastAsia" w:ascii="宋体" w:hAnsi="宋体" w:cs="宋体"/>
                <w:b/>
                <w:bCs/>
              </w:rPr>
            </w:pPr>
            <w:r>
              <w:rPr>
                <w:rFonts w:hint="eastAsia" w:ascii="宋体" w:hAnsi="宋体" w:cs="宋体"/>
                <w:b/>
                <w:bCs/>
              </w:rPr>
              <w:t>2015</w:t>
            </w:r>
          </w:p>
        </w:tc>
        <w:tc>
          <w:tcPr>
            <w:tcW w:w="823" w:type="dxa"/>
          </w:tcPr>
          <w:p>
            <w:pPr>
              <w:adjustRightInd w:val="0"/>
              <w:snapToGrid w:val="0"/>
              <w:spacing w:line="360" w:lineRule="auto"/>
              <w:ind w:firstLine="422" w:firstLineChars="200"/>
              <w:rPr>
                <w:rFonts w:hint="eastAsia" w:ascii="宋体" w:hAnsi="宋体" w:cs="宋体"/>
                <w:b/>
                <w:bCs/>
              </w:rPr>
            </w:pPr>
            <w:r>
              <w:rPr>
                <w:rFonts w:hint="eastAsia" w:ascii="宋体" w:hAnsi="宋体" w:cs="宋体"/>
                <w:b/>
                <w:bCs/>
              </w:rPr>
              <w:t>2016</w:t>
            </w:r>
          </w:p>
        </w:tc>
        <w:tc>
          <w:tcPr>
            <w:tcW w:w="823" w:type="dxa"/>
          </w:tcPr>
          <w:p>
            <w:pPr>
              <w:adjustRightInd w:val="0"/>
              <w:snapToGrid w:val="0"/>
              <w:spacing w:line="360" w:lineRule="auto"/>
              <w:ind w:firstLine="422" w:firstLineChars="200"/>
              <w:rPr>
                <w:rFonts w:hint="eastAsia" w:ascii="宋体" w:hAnsi="宋体" w:cs="宋体"/>
                <w:b/>
                <w:bCs/>
              </w:rPr>
            </w:pPr>
            <w:r>
              <w:rPr>
                <w:rFonts w:hint="eastAsia" w:ascii="宋体" w:hAnsi="宋体" w:cs="宋体"/>
                <w:b/>
                <w:bCs/>
              </w:rPr>
              <w:t>2017</w:t>
            </w:r>
          </w:p>
        </w:tc>
        <w:tc>
          <w:tcPr>
            <w:tcW w:w="823" w:type="dxa"/>
          </w:tcPr>
          <w:p>
            <w:pPr>
              <w:adjustRightInd w:val="0"/>
              <w:snapToGrid w:val="0"/>
              <w:spacing w:line="360" w:lineRule="auto"/>
              <w:ind w:firstLine="422" w:firstLineChars="200"/>
              <w:rPr>
                <w:rFonts w:hint="eastAsia" w:ascii="宋体" w:hAnsi="宋体" w:cs="宋体"/>
                <w:b/>
                <w:bCs/>
              </w:rPr>
            </w:pPr>
            <w:r>
              <w:rPr>
                <w:rFonts w:hint="eastAsia" w:ascii="宋体" w:hAnsi="宋体" w:cs="宋体"/>
                <w:b/>
                <w:bCs/>
              </w:rPr>
              <w:t>2018</w:t>
            </w:r>
          </w:p>
        </w:tc>
        <w:tc>
          <w:tcPr>
            <w:tcW w:w="823" w:type="dxa"/>
          </w:tcPr>
          <w:p>
            <w:pPr>
              <w:adjustRightInd w:val="0"/>
              <w:snapToGrid w:val="0"/>
              <w:spacing w:line="360" w:lineRule="auto"/>
              <w:ind w:firstLine="422" w:firstLineChars="200"/>
              <w:rPr>
                <w:rFonts w:hint="eastAsia" w:ascii="宋体" w:hAnsi="宋体" w:cs="宋体"/>
                <w:b/>
                <w:bCs/>
              </w:rPr>
            </w:pPr>
            <w:r>
              <w:rPr>
                <w:rFonts w:hint="eastAsia" w:ascii="宋体" w:hAnsi="宋体" w:cs="宋体"/>
                <w:b/>
                <w:bCs/>
              </w:rPr>
              <w:t>2019</w:t>
            </w:r>
          </w:p>
        </w:tc>
        <w:tc>
          <w:tcPr>
            <w:tcW w:w="1300" w:type="dxa"/>
          </w:tcPr>
          <w:p>
            <w:pPr>
              <w:adjustRightInd w:val="0"/>
              <w:snapToGrid w:val="0"/>
              <w:spacing w:line="360" w:lineRule="auto"/>
              <w:ind w:firstLine="422" w:firstLineChars="200"/>
              <w:rPr>
                <w:rFonts w:hint="eastAsia" w:ascii="宋体" w:hAnsi="宋体" w:cs="宋体"/>
                <w:b/>
                <w:bCs/>
              </w:rPr>
            </w:pPr>
            <w:r>
              <w:rPr>
                <w:rFonts w:hint="eastAsia" w:ascii="宋体" w:hAnsi="宋体" w:cs="宋体"/>
                <w:b/>
                <w:bCs/>
              </w:rPr>
              <w:t>2020</w:t>
            </w:r>
            <w:r>
              <w:rPr>
                <w:rFonts w:hint="eastAsia" w:ascii="宋体" w:hAnsi="宋体" w:cs="宋体"/>
              </w:rPr>
              <w:t>上半年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8"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受理</w:t>
            </w:r>
          </w:p>
        </w:tc>
        <w:tc>
          <w:tcPr>
            <w:tcW w:w="823"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202</w:t>
            </w:r>
          </w:p>
        </w:tc>
        <w:tc>
          <w:tcPr>
            <w:tcW w:w="823"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508</w:t>
            </w:r>
          </w:p>
        </w:tc>
        <w:tc>
          <w:tcPr>
            <w:tcW w:w="823"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836</w:t>
            </w:r>
          </w:p>
        </w:tc>
        <w:tc>
          <w:tcPr>
            <w:tcW w:w="823"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1293</w:t>
            </w:r>
          </w:p>
        </w:tc>
        <w:tc>
          <w:tcPr>
            <w:tcW w:w="823"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1900</w:t>
            </w:r>
          </w:p>
        </w:tc>
        <w:tc>
          <w:tcPr>
            <w:tcW w:w="823"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4444</w:t>
            </w:r>
          </w:p>
        </w:tc>
        <w:tc>
          <w:tcPr>
            <w:tcW w:w="823"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4783</w:t>
            </w:r>
          </w:p>
        </w:tc>
        <w:tc>
          <w:tcPr>
            <w:tcW w:w="823"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5172</w:t>
            </w:r>
          </w:p>
        </w:tc>
        <w:tc>
          <w:tcPr>
            <w:tcW w:w="823"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5704</w:t>
            </w:r>
          </w:p>
        </w:tc>
        <w:tc>
          <w:tcPr>
            <w:tcW w:w="1300"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2562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8"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办结</w:t>
            </w:r>
          </w:p>
        </w:tc>
        <w:tc>
          <w:tcPr>
            <w:tcW w:w="823"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193</w:t>
            </w:r>
          </w:p>
        </w:tc>
        <w:tc>
          <w:tcPr>
            <w:tcW w:w="823"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493</w:t>
            </w:r>
          </w:p>
        </w:tc>
        <w:tc>
          <w:tcPr>
            <w:tcW w:w="823"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795</w:t>
            </w:r>
          </w:p>
        </w:tc>
        <w:tc>
          <w:tcPr>
            <w:tcW w:w="823"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1233</w:t>
            </w:r>
          </w:p>
        </w:tc>
        <w:tc>
          <w:tcPr>
            <w:tcW w:w="823"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1769</w:t>
            </w:r>
          </w:p>
        </w:tc>
        <w:tc>
          <w:tcPr>
            <w:tcW w:w="823"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4266</w:t>
            </w:r>
          </w:p>
        </w:tc>
        <w:tc>
          <w:tcPr>
            <w:tcW w:w="823"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4505</w:t>
            </w:r>
          </w:p>
        </w:tc>
        <w:tc>
          <w:tcPr>
            <w:tcW w:w="823"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4844</w:t>
            </w:r>
          </w:p>
        </w:tc>
        <w:tc>
          <w:tcPr>
            <w:tcW w:w="823"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5452</w:t>
            </w:r>
          </w:p>
        </w:tc>
        <w:tc>
          <w:tcPr>
            <w:tcW w:w="1300"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2318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8"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起诉</w:t>
            </w:r>
          </w:p>
        </w:tc>
        <w:tc>
          <w:tcPr>
            <w:tcW w:w="823"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193</w:t>
            </w:r>
          </w:p>
        </w:tc>
        <w:tc>
          <w:tcPr>
            <w:tcW w:w="823"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493</w:t>
            </w:r>
          </w:p>
        </w:tc>
        <w:tc>
          <w:tcPr>
            <w:tcW w:w="823"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788</w:t>
            </w:r>
          </w:p>
        </w:tc>
        <w:tc>
          <w:tcPr>
            <w:tcW w:w="823"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1229</w:t>
            </w:r>
          </w:p>
        </w:tc>
        <w:tc>
          <w:tcPr>
            <w:tcW w:w="823"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1760</w:t>
            </w:r>
          </w:p>
        </w:tc>
        <w:tc>
          <w:tcPr>
            <w:tcW w:w="823"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4236</w:t>
            </w:r>
          </w:p>
        </w:tc>
        <w:tc>
          <w:tcPr>
            <w:tcW w:w="823"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4448</w:t>
            </w:r>
          </w:p>
        </w:tc>
        <w:tc>
          <w:tcPr>
            <w:tcW w:w="823"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4591</w:t>
            </w:r>
          </w:p>
        </w:tc>
        <w:tc>
          <w:tcPr>
            <w:tcW w:w="823"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4365</w:t>
            </w:r>
          </w:p>
        </w:tc>
        <w:tc>
          <w:tcPr>
            <w:tcW w:w="1300"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1519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8" w:type="dxa"/>
          </w:tcPr>
          <w:p>
            <w:pPr>
              <w:adjustRightInd w:val="0"/>
              <w:snapToGrid w:val="0"/>
              <w:spacing w:line="360" w:lineRule="auto"/>
              <w:ind w:firstLine="422" w:firstLineChars="200"/>
              <w:rPr>
                <w:rFonts w:hint="eastAsia" w:ascii="宋体" w:hAnsi="宋体" w:cs="宋体"/>
                <w:b/>
                <w:bCs/>
              </w:rPr>
            </w:pPr>
            <w:r>
              <w:rPr>
                <w:rFonts w:hint="eastAsia" w:ascii="宋体" w:hAnsi="宋体" w:cs="宋体"/>
                <w:b/>
                <w:bCs/>
              </w:rPr>
              <w:t>不诉</w:t>
            </w:r>
          </w:p>
        </w:tc>
        <w:tc>
          <w:tcPr>
            <w:tcW w:w="823" w:type="dxa"/>
          </w:tcPr>
          <w:p>
            <w:pPr>
              <w:adjustRightInd w:val="0"/>
              <w:snapToGrid w:val="0"/>
              <w:spacing w:line="360" w:lineRule="auto"/>
              <w:ind w:firstLine="422" w:firstLineChars="200"/>
              <w:rPr>
                <w:rFonts w:hint="eastAsia" w:ascii="宋体" w:hAnsi="宋体" w:cs="宋体"/>
                <w:b/>
                <w:bCs/>
              </w:rPr>
            </w:pPr>
            <w:r>
              <w:rPr>
                <w:rFonts w:hint="eastAsia" w:ascii="宋体" w:hAnsi="宋体" w:cs="宋体"/>
                <w:b/>
                <w:bCs/>
              </w:rPr>
              <w:t>0</w:t>
            </w:r>
          </w:p>
        </w:tc>
        <w:tc>
          <w:tcPr>
            <w:tcW w:w="823" w:type="dxa"/>
          </w:tcPr>
          <w:p>
            <w:pPr>
              <w:adjustRightInd w:val="0"/>
              <w:snapToGrid w:val="0"/>
              <w:spacing w:line="360" w:lineRule="auto"/>
              <w:ind w:firstLine="422" w:firstLineChars="200"/>
              <w:rPr>
                <w:rFonts w:hint="eastAsia" w:ascii="宋体" w:hAnsi="宋体" w:cs="宋体"/>
                <w:b/>
                <w:bCs/>
              </w:rPr>
            </w:pPr>
            <w:r>
              <w:rPr>
                <w:rFonts w:hint="eastAsia" w:ascii="宋体" w:hAnsi="宋体" w:cs="宋体"/>
                <w:b/>
                <w:bCs/>
              </w:rPr>
              <w:t>0</w:t>
            </w:r>
          </w:p>
        </w:tc>
        <w:tc>
          <w:tcPr>
            <w:tcW w:w="823" w:type="dxa"/>
          </w:tcPr>
          <w:p>
            <w:pPr>
              <w:adjustRightInd w:val="0"/>
              <w:snapToGrid w:val="0"/>
              <w:spacing w:line="360" w:lineRule="auto"/>
              <w:ind w:firstLine="422" w:firstLineChars="200"/>
              <w:rPr>
                <w:rFonts w:hint="eastAsia" w:ascii="宋体" w:hAnsi="宋体" w:cs="宋体"/>
                <w:b/>
                <w:bCs/>
              </w:rPr>
            </w:pPr>
            <w:r>
              <w:rPr>
                <w:rFonts w:hint="eastAsia" w:ascii="宋体" w:hAnsi="宋体" w:cs="宋体"/>
                <w:b/>
                <w:bCs/>
              </w:rPr>
              <w:t>7</w:t>
            </w:r>
          </w:p>
        </w:tc>
        <w:tc>
          <w:tcPr>
            <w:tcW w:w="823" w:type="dxa"/>
          </w:tcPr>
          <w:p>
            <w:pPr>
              <w:adjustRightInd w:val="0"/>
              <w:snapToGrid w:val="0"/>
              <w:spacing w:line="360" w:lineRule="auto"/>
              <w:ind w:firstLine="422" w:firstLineChars="200"/>
              <w:rPr>
                <w:rFonts w:hint="eastAsia" w:ascii="宋体" w:hAnsi="宋体" w:cs="宋体"/>
                <w:b/>
                <w:bCs/>
              </w:rPr>
            </w:pPr>
            <w:r>
              <w:rPr>
                <w:rFonts w:hint="eastAsia" w:ascii="宋体" w:hAnsi="宋体" w:cs="宋体"/>
                <w:b/>
                <w:bCs/>
              </w:rPr>
              <w:t>4</w:t>
            </w:r>
          </w:p>
        </w:tc>
        <w:tc>
          <w:tcPr>
            <w:tcW w:w="823" w:type="dxa"/>
          </w:tcPr>
          <w:p>
            <w:pPr>
              <w:adjustRightInd w:val="0"/>
              <w:snapToGrid w:val="0"/>
              <w:spacing w:line="360" w:lineRule="auto"/>
              <w:ind w:firstLine="422" w:firstLineChars="200"/>
              <w:rPr>
                <w:rFonts w:hint="eastAsia" w:ascii="宋体" w:hAnsi="宋体" w:cs="宋体"/>
                <w:b/>
                <w:bCs/>
              </w:rPr>
            </w:pPr>
            <w:r>
              <w:rPr>
                <w:rFonts w:hint="eastAsia" w:ascii="宋体" w:hAnsi="宋体" w:cs="宋体"/>
                <w:b/>
                <w:bCs/>
              </w:rPr>
              <w:t>9</w:t>
            </w:r>
          </w:p>
        </w:tc>
        <w:tc>
          <w:tcPr>
            <w:tcW w:w="823" w:type="dxa"/>
          </w:tcPr>
          <w:p>
            <w:pPr>
              <w:adjustRightInd w:val="0"/>
              <w:snapToGrid w:val="0"/>
              <w:spacing w:line="360" w:lineRule="auto"/>
              <w:ind w:firstLine="422" w:firstLineChars="200"/>
              <w:rPr>
                <w:rFonts w:hint="eastAsia" w:ascii="宋体" w:hAnsi="宋体" w:cs="宋体"/>
                <w:b/>
                <w:bCs/>
              </w:rPr>
            </w:pPr>
            <w:r>
              <w:rPr>
                <w:rFonts w:hint="eastAsia" w:ascii="宋体" w:hAnsi="宋体" w:cs="宋体"/>
                <w:b/>
                <w:bCs/>
              </w:rPr>
              <w:t>30</w:t>
            </w:r>
          </w:p>
        </w:tc>
        <w:tc>
          <w:tcPr>
            <w:tcW w:w="823" w:type="dxa"/>
          </w:tcPr>
          <w:p>
            <w:pPr>
              <w:adjustRightInd w:val="0"/>
              <w:snapToGrid w:val="0"/>
              <w:spacing w:line="360" w:lineRule="auto"/>
              <w:ind w:firstLine="422" w:firstLineChars="200"/>
              <w:rPr>
                <w:rFonts w:hint="eastAsia" w:ascii="宋体" w:hAnsi="宋体" w:cs="宋体"/>
                <w:b/>
                <w:bCs/>
              </w:rPr>
            </w:pPr>
            <w:r>
              <w:rPr>
                <w:rFonts w:hint="eastAsia" w:ascii="宋体" w:hAnsi="宋体" w:cs="宋体"/>
                <w:b/>
                <w:bCs/>
              </w:rPr>
              <w:t>57</w:t>
            </w:r>
          </w:p>
        </w:tc>
        <w:tc>
          <w:tcPr>
            <w:tcW w:w="823" w:type="dxa"/>
          </w:tcPr>
          <w:p>
            <w:pPr>
              <w:adjustRightInd w:val="0"/>
              <w:snapToGrid w:val="0"/>
              <w:spacing w:line="360" w:lineRule="auto"/>
              <w:ind w:firstLine="422" w:firstLineChars="200"/>
              <w:rPr>
                <w:rFonts w:hint="eastAsia" w:ascii="宋体" w:hAnsi="宋体" w:cs="宋体"/>
                <w:b/>
                <w:bCs/>
              </w:rPr>
            </w:pPr>
            <w:r>
              <w:rPr>
                <w:rFonts w:hint="eastAsia" w:ascii="宋体" w:hAnsi="宋体" w:cs="宋体"/>
                <w:b/>
                <w:bCs/>
              </w:rPr>
              <w:t>253</w:t>
            </w:r>
          </w:p>
        </w:tc>
        <w:tc>
          <w:tcPr>
            <w:tcW w:w="823" w:type="dxa"/>
          </w:tcPr>
          <w:p>
            <w:pPr>
              <w:adjustRightInd w:val="0"/>
              <w:snapToGrid w:val="0"/>
              <w:spacing w:line="360" w:lineRule="auto"/>
              <w:ind w:firstLine="422" w:firstLineChars="200"/>
              <w:rPr>
                <w:rFonts w:hint="eastAsia" w:ascii="宋体" w:hAnsi="宋体" w:cs="宋体"/>
                <w:b/>
                <w:bCs/>
              </w:rPr>
            </w:pPr>
            <w:r>
              <w:rPr>
                <w:rFonts w:hint="eastAsia" w:ascii="宋体" w:hAnsi="宋体" w:cs="宋体"/>
                <w:b/>
                <w:bCs/>
              </w:rPr>
              <w:t>1087</w:t>
            </w:r>
          </w:p>
        </w:tc>
        <w:tc>
          <w:tcPr>
            <w:tcW w:w="1300" w:type="dxa"/>
          </w:tcPr>
          <w:p>
            <w:pPr>
              <w:adjustRightInd w:val="0"/>
              <w:snapToGrid w:val="0"/>
              <w:spacing w:line="360" w:lineRule="auto"/>
              <w:ind w:firstLine="422" w:firstLineChars="200"/>
              <w:rPr>
                <w:rFonts w:hint="eastAsia" w:ascii="宋体" w:hAnsi="宋体" w:cs="宋体"/>
                <w:b/>
                <w:bCs/>
              </w:rPr>
            </w:pPr>
            <w:r>
              <w:rPr>
                <w:rFonts w:hint="eastAsia" w:ascii="宋体" w:hAnsi="宋体" w:cs="宋体"/>
                <w:b/>
                <w:bCs/>
              </w:rPr>
              <w:t>799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8" w:type="dxa"/>
          </w:tcPr>
          <w:p>
            <w:pPr>
              <w:adjustRightInd w:val="0"/>
              <w:snapToGrid w:val="0"/>
              <w:spacing w:line="360" w:lineRule="auto"/>
              <w:ind w:firstLine="422" w:firstLineChars="200"/>
              <w:rPr>
                <w:rFonts w:hint="eastAsia" w:ascii="宋体" w:hAnsi="宋体" w:cs="宋体"/>
                <w:b/>
                <w:bCs/>
              </w:rPr>
            </w:pPr>
            <w:r>
              <w:rPr>
                <w:rFonts w:hint="eastAsia" w:ascii="宋体" w:hAnsi="宋体" w:cs="宋体"/>
                <w:b/>
                <w:bCs/>
              </w:rPr>
              <w:t>缓刑</w:t>
            </w:r>
          </w:p>
        </w:tc>
        <w:tc>
          <w:tcPr>
            <w:tcW w:w="823" w:type="dxa"/>
          </w:tcPr>
          <w:p>
            <w:pPr>
              <w:adjustRightInd w:val="0"/>
              <w:snapToGrid w:val="0"/>
              <w:spacing w:line="360" w:lineRule="auto"/>
              <w:ind w:firstLine="422" w:firstLineChars="200"/>
              <w:rPr>
                <w:rFonts w:hint="eastAsia" w:ascii="宋体" w:hAnsi="宋体" w:cs="宋体"/>
                <w:b/>
                <w:bCs/>
              </w:rPr>
            </w:pPr>
            <w:r>
              <w:rPr>
                <w:rFonts w:hint="eastAsia" w:ascii="宋体" w:hAnsi="宋体" w:cs="宋体"/>
                <w:b/>
                <w:bCs/>
              </w:rPr>
              <w:t>0</w:t>
            </w:r>
          </w:p>
        </w:tc>
        <w:tc>
          <w:tcPr>
            <w:tcW w:w="823" w:type="dxa"/>
          </w:tcPr>
          <w:p>
            <w:pPr>
              <w:adjustRightInd w:val="0"/>
              <w:snapToGrid w:val="0"/>
              <w:spacing w:line="360" w:lineRule="auto"/>
              <w:ind w:firstLine="422" w:firstLineChars="200"/>
              <w:rPr>
                <w:rFonts w:hint="eastAsia" w:ascii="宋体" w:hAnsi="宋体" w:cs="宋体"/>
                <w:b/>
                <w:bCs/>
              </w:rPr>
            </w:pPr>
            <w:r>
              <w:rPr>
                <w:rFonts w:hint="eastAsia" w:ascii="宋体" w:hAnsi="宋体" w:cs="宋体"/>
                <w:b/>
                <w:bCs/>
              </w:rPr>
              <w:t>0</w:t>
            </w:r>
          </w:p>
        </w:tc>
        <w:tc>
          <w:tcPr>
            <w:tcW w:w="823" w:type="dxa"/>
          </w:tcPr>
          <w:p>
            <w:pPr>
              <w:adjustRightInd w:val="0"/>
              <w:snapToGrid w:val="0"/>
              <w:spacing w:line="360" w:lineRule="auto"/>
              <w:ind w:firstLine="422" w:firstLineChars="200"/>
              <w:rPr>
                <w:rFonts w:hint="eastAsia" w:ascii="宋体" w:hAnsi="宋体" w:cs="宋体"/>
                <w:b/>
                <w:bCs/>
              </w:rPr>
            </w:pPr>
            <w:r>
              <w:rPr>
                <w:rFonts w:hint="eastAsia" w:ascii="宋体" w:hAnsi="宋体" w:cs="宋体"/>
                <w:b/>
                <w:bCs/>
              </w:rPr>
              <w:t>15</w:t>
            </w:r>
          </w:p>
        </w:tc>
        <w:tc>
          <w:tcPr>
            <w:tcW w:w="823" w:type="dxa"/>
          </w:tcPr>
          <w:p>
            <w:pPr>
              <w:adjustRightInd w:val="0"/>
              <w:snapToGrid w:val="0"/>
              <w:spacing w:line="360" w:lineRule="auto"/>
              <w:ind w:firstLine="422" w:firstLineChars="200"/>
              <w:rPr>
                <w:rFonts w:hint="eastAsia" w:ascii="宋体" w:hAnsi="宋体" w:cs="宋体"/>
                <w:b/>
                <w:bCs/>
              </w:rPr>
            </w:pPr>
            <w:r>
              <w:rPr>
                <w:rFonts w:hint="eastAsia" w:ascii="宋体" w:hAnsi="宋体" w:cs="宋体"/>
                <w:b/>
                <w:bCs/>
              </w:rPr>
              <w:t>129</w:t>
            </w:r>
          </w:p>
        </w:tc>
        <w:tc>
          <w:tcPr>
            <w:tcW w:w="823" w:type="dxa"/>
          </w:tcPr>
          <w:p>
            <w:pPr>
              <w:adjustRightInd w:val="0"/>
              <w:snapToGrid w:val="0"/>
              <w:spacing w:line="360" w:lineRule="auto"/>
              <w:ind w:firstLine="422" w:firstLineChars="200"/>
              <w:rPr>
                <w:rFonts w:hint="eastAsia" w:ascii="宋体" w:hAnsi="宋体" w:cs="宋体"/>
                <w:b/>
                <w:bCs/>
              </w:rPr>
            </w:pPr>
            <w:r>
              <w:rPr>
                <w:rFonts w:hint="eastAsia" w:ascii="宋体" w:hAnsi="宋体" w:cs="宋体"/>
                <w:b/>
                <w:bCs/>
              </w:rPr>
              <w:t>398</w:t>
            </w:r>
          </w:p>
        </w:tc>
        <w:tc>
          <w:tcPr>
            <w:tcW w:w="823" w:type="dxa"/>
          </w:tcPr>
          <w:p>
            <w:pPr>
              <w:adjustRightInd w:val="0"/>
              <w:snapToGrid w:val="0"/>
              <w:spacing w:line="360" w:lineRule="auto"/>
              <w:ind w:firstLine="422" w:firstLineChars="200"/>
              <w:rPr>
                <w:rFonts w:hint="eastAsia" w:ascii="宋体" w:hAnsi="宋体" w:cs="宋体"/>
                <w:b/>
                <w:bCs/>
              </w:rPr>
            </w:pPr>
            <w:r>
              <w:rPr>
                <w:rFonts w:hint="eastAsia" w:ascii="宋体" w:hAnsi="宋体" w:cs="宋体"/>
                <w:b/>
                <w:bCs/>
              </w:rPr>
              <w:t>1132</w:t>
            </w:r>
          </w:p>
        </w:tc>
        <w:tc>
          <w:tcPr>
            <w:tcW w:w="823" w:type="dxa"/>
          </w:tcPr>
          <w:p>
            <w:pPr>
              <w:adjustRightInd w:val="0"/>
              <w:snapToGrid w:val="0"/>
              <w:spacing w:line="360" w:lineRule="auto"/>
              <w:ind w:firstLine="422" w:firstLineChars="200"/>
              <w:rPr>
                <w:rFonts w:hint="eastAsia" w:ascii="宋体" w:hAnsi="宋体" w:cs="宋体"/>
                <w:b/>
                <w:bCs/>
              </w:rPr>
            </w:pPr>
            <w:r>
              <w:rPr>
                <w:rFonts w:hint="eastAsia" w:ascii="宋体" w:hAnsi="宋体" w:cs="宋体"/>
                <w:b/>
                <w:bCs/>
              </w:rPr>
              <w:t>1640</w:t>
            </w:r>
          </w:p>
        </w:tc>
        <w:tc>
          <w:tcPr>
            <w:tcW w:w="823" w:type="dxa"/>
          </w:tcPr>
          <w:p>
            <w:pPr>
              <w:adjustRightInd w:val="0"/>
              <w:snapToGrid w:val="0"/>
              <w:spacing w:line="360" w:lineRule="auto"/>
              <w:ind w:firstLine="422" w:firstLineChars="200"/>
              <w:rPr>
                <w:rFonts w:hint="eastAsia" w:ascii="宋体" w:hAnsi="宋体" w:cs="宋体"/>
                <w:b/>
                <w:bCs/>
              </w:rPr>
            </w:pPr>
            <w:r>
              <w:rPr>
                <w:rFonts w:hint="eastAsia" w:ascii="宋体" w:hAnsi="宋体" w:cs="宋体"/>
                <w:b/>
                <w:bCs/>
              </w:rPr>
              <w:t>2280</w:t>
            </w:r>
          </w:p>
        </w:tc>
        <w:tc>
          <w:tcPr>
            <w:tcW w:w="823" w:type="dxa"/>
          </w:tcPr>
          <w:p>
            <w:pPr>
              <w:adjustRightInd w:val="0"/>
              <w:snapToGrid w:val="0"/>
              <w:spacing w:line="360" w:lineRule="auto"/>
              <w:ind w:firstLine="422" w:firstLineChars="200"/>
              <w:rPr>
                <w:rFonts w:hint="eastAsia" w:ascii="宋体" w:hAnsi="宋体" w:cs="宋体"/>
                <w:b/>
                <w:bCs/>
              </w:rPr>
            </w:pPr>
            <w:r>
              <w:rPr>
                <w:rFonts w:hint="eastAsia" w:ascii="宋体" w:hAnsi="宋体" w:cs="宋体"/>
                <w:b/>
                <w:bCs/>
              </w:rPr>
              <w:t>2705</w:t>
            </w:r>
          </w:p>
        </w:tc>
        <w:tc>
          <w:tcPr>
            <w:tcW w:w="1300" w:type="dxa"/>
          </w:tcPr>
          <w:p>
            <w:pPr>
              <w:adjustRightInd w:val="0"/>
              <w:snapToGrid w:val="0"/>
              <w:spacing w:line="360" w:lineRule="auto"/>
              <w:ind w:firstLine="422" w:firstLineChars="200"/>
              <w:rPr>
                <w:rFonts w:hint="eastAsia" w:ascii="宋体" w:hAnsi="宋体" w:cs="宋体"/>
                <w:b/>
                <w:bCs/>
              </w:rPr>
            </w:pPr>
            <w:r>
              <w:rPr>
                <w:rFonts w:hint="eastAsia" w:ascii="宋体" w:hAnsi="宋体" w:cs="宋体"/>
                <w:b/>
                <w:bCs/>
              </w:rPr>
              <w:t>1065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8" w:type="dxa"/>
          </w:tcPr>
          <w:p>
            <w:pPr>
              <w:adjustRightInd w:val="0"/>
              <w:snapToGrid w:val="0"/>
              <w:spacing w:line="360" w:lineRule="auto"/>
              <w:ind w:firstLine="422" w:firstLineChars="200"/>
              <w:rPr>
                <w:rFonts w:hint="eastAsia" w:ascii="宋体" w:hAnsi="宋体" w:cs="宋体"/>
                <w:b/>
                <w:bCs/>
              </w:rPr>
            </w:pPr>
            <w:r>
              <w:rPr>
                <w:rFonts w:hint="eastAsia" w:ascii="宋体" w:hAnsi="宋体" w:cs="宋体"/>
                <w:b/>
                <w:bCs/>
              </w:rPr>
              <w:t>免刑</w:t>
            </w:r>
          </w:p>
        </w:tc>
        <w:tc>
          <w:tcPr>
            <w:tcW w:w="823" w:type="dxa"/>
          </w:tcPr>
          <w:p>
            <w:pPr>
              <w:adjustRightInd w:val="0"/>
              <w:snapToGrid w:val="0"/>
              <w:spacing w:line="360" w:lineRule="auto"/>
              <w:ind w:firstLine="422" w:firstLineChars="200"/>
              <w:rPr>
                <w:rFonts w:hint="eastAsia" w:ascii="宋体" w:hAnsi="宋体" w:cs="宋体"/>
                <w:b/>
                <w:bCs/>
              </w:rPr>
            </w:pPr>
            <w:r>
              <w:rPr>
                <w:rFonts w:hint="eastAsia" w:ascii="宋体" w:hAnsi="宋体" w:cs="宋体"/>
                <w:b/>
                <w:bCs/>
              </w:rPr>
              <w:t>0</w:t>
            </w:r>
          </w:p>
        </w:tc>
        <w:tc>
          <w:tcPr>
            <w:tcW w:w="823" w:type="dxa"/>
          </w:tcPr>
          <w:p>
            <w:pPr>
              <w:adjustRightInd w:val="0"/>
              <w:snapToGrid w:val="0"/>
              <w:spacing w:line="360" w:lineRule="auto"/>
              <w:ind w:firstLine="422" w:firstLineChars="200"/>
              <w:rPr>
                <w:rFonts w:hint="eastAsia" w:ascii="宋体" w:hAnsi="宋体" w:cs="宋体"/>
                <w:b/>
                <w:bCs/>
              </w:rPr>
            </w:pPr>
            <w:r>
              <w:rPr>
                <w:rFonts w:hint="eastAsia" w:ascii="宋体" w:hAnsi="宋体" w:cs="宋体"/>
                <w:b/>
                <w:bCs/>
              </w:rPr>
              <w:t>0</w:t>
            </w:r>
          </w:p>
        </w:tc>
        <w:tc>
          <w:tcPr>
            <w:tcW w:w="823" w:type="dxa"/>
          </w:tcPr>
          <w:p>
            <w:pPr>
              <w:adjustRightInd w:val="0"/>
              <w:snapToGrid w:val="0"/>
              <w:spacing w:line="360" w:lineRule="auto"/>
              <w:ind w:firstLine="422" w:firstLineChars="200"/>
              <w:rPr>
                <w:rFonts w:hint="eastAsia" w:ascii="宋体" w:hAnsi="宋体" w:cs="宋体"/>
                <w:b/>
                <w:bCs/>
              </w:rPr>
            </w:pPr>
            <w:r>
              <w:rPr>
                <w:rFonts w:hint="eastAsia" w:ascii="宋体" w:hAnsi="宋体" w:cs="宋体"/>
                <w:b/>
                <w:bCs/>
              </w:rPr>
              <w:t>0</w:t>
            </w:r>
          </w:p>
        </w:tc>
        <w:tc>
          <w:tcPr>
            <w:tcW w:w="823" w:type="dxa"/>
          </w:tcPr>
          <w:p>
            <w:pPr>
              <w:adjustRightInd w:val="0"/>
              <w:snapToGrid w:val="0"/>
              <w:spacing w:line="360" w:lineRule="auto"/>
              <w:ind w:firstLine="422" w:firstLineChars="200"/>
              <w:rPr>
                <w:rFonts w:hint="eastAsia" w:ascii="宋体" w:hAnsi="宋体" w:cs="宋体"/>
                <w:b/>
                <w:bCs/>
              </w:rPr>
            </w:pPr>
            <w:r>
              <w:rPr>
                <w:rFonts w:hint="eastAsia" w:ascii="宋体" w:hAnsi="宋体" w:cs="宋体"/>
                <w:b/>
                <w:bCs/>
              </w:rPr>
              <w:t>1</w:t>
            </w:r>
          </w:p>
        </w:tc>
        <w:tc>
          <w:tcPr>
            <w:tcW w:w="823" w:type="dxa"/>
          </w:tcPr>
          <w:p>
            <w:pPr>
              <w:adjustRightInd w:val="0"/>
              <w:snapToGrid w:val="0"/>
              <w:spacing w:line="360" w:lineRule="auto"/>
              <w:ind w:firstLine="422" w:firstLineChars="200"/>
              <w:rPr>
                <w:rFonts w:hint="eastAsia" w:ascii="宋体" w:hAnsi="宋体" w:cs="宋体"/>
                <w:b/>
                <w:bCs/>
              </w:rPr>
            </w:pPr>
            <w:r>
              <w:rPr>
                <w:rFonts w:hint="eastAsia" w:ascii="宋体" w:hAnsi="宋体" w:cs="宋体"/>
                <w:b/>
                <w:bCs/>
              </w:rPr>
              <w:t>2</w:t>
            </w:r>
          </w:p>
        </w:tc>
        <w:tc>
          <w:tcPr>
            <w:tcW w:w="823" w:type="dxa"/>
          </w:tcPr>
          <w:p>
            <w:pPr>
              <w:adjustRightInd w:val="0"/>
              <w:snapToGrid w:val="0"/>
              <w:spacing w:line="360" w:lineRule="auto"/>
              <w:ind w:firstLine="422" w:firstLineChars="200"/>
              <w:rPr>
                <w:rFonts w:hint="eastAsia" w:ascii="宋体" w:hAnsi="宋体" w:cs="宋体"/>
                <w:b/>
                <w:bCs/>
              </w:rPr>
            </w:pPr>
            <w:r>
              <w:rPr>
                <w:rFonts w:hint="eastAsia" w:ascii="宋体" w:hAnsi="宋体" w:cs="宋体"/>
                <w:b/>
                <w:bCs/>
              </w:rPr>
              <w:t>5</w:t>
            </w:r>
          </w:p>
        </w:tc>
        <w:tc>
          <w:tcPr>
            <w:tcW w:w="823" w:type="dxa"/>
          </w:tcPr>
          <w:p>
            <w:pPr>
              <w:adjustRightInd w:val="0"/>
              <w:snapToGrid w:val="0"/>
              <w:spacing w:line="360" w:lineRule="auto"/>
              <w:ind w:firstLine="422" w:firstLineChars="200"/>
              <w:rPr>
                <w:rFonts w:hint="eastAsia" w:ascii="宋体" w:hAnsi="宋体" w:cs="宋体"/>
                <w:b/>
                <w:bCs/>
              </w:rPr>
            </w:pPr>
            <w:r>
              <w:rPr>
                <w:rFonts w:hint="eastAsia" w:ascii="宋体" w:hAnsi="宋体" w:cs="宋体"/>
                <w:b/>
                <w:bCs/>
              </w:rPr>
              <w:t>6</w:t>
            </w:r>
          </w:p>
        </w:tc>
        <w:tc>
          <w:tcPr>
            <w:tcW w:w="823" w:type="dxa"/>
          </w:tcPr>
          <w:p>
            <w:pPr>
              <w:adjustRightInd w:val="0"/>
              <w:snapToGrid w:val="0"/>
              <w:spacing w:line="360" w:lineRule="auto"/>
              <w:ind w:firstLine="422" w:firstLineChars="200"/>
              <w:rPr>
                <w:rFonts w:hint="eastAsia" w:ascii="宋体" w:hAnsi="宋体" w:cs="宋体"/>
                <w:b/>
                <w:bCs/>
              </w:rPr>
            </w:pPr>
            <w:r>
              <w:rPr>
                <w:rFonts w:hint="eastAsia" w:ascii="宋体" w:hAnsi="宋体" w:cs="宋体"/>
                <w:b/>
                <w:bCs/>
              </w:rPr>
              <w:t>92</w:t>
            </w:r>
          </w:p>
        </w:tc>
        <w:tc>
          <w:tcPr>
            <w:tcW w:w="823" w:type="dxa"/>
          </w:tcPr>
          <w:p>
            <w:pPr>
              <w:adjustRightInd w:val="0"/>
              <w:snapToGrid w:val="0"/>
              <w:spacing w:line="360" w:lineRule="auto"/>
              <w:ind w:firstLine="422" w:firstLineChars="200"/>
              <w:rPr>
                <w:rFonts w:hint="eastAsia" w:ascii="宋体" w:hAnsi="宋体" w:cs="宋体"/>
                <w:b/>
                <w:bCs/>
              </w:rPr>
            </w:pPr>
            <w:r>
              <w:rPr>
                <w:rFonts w:hint="eastAsia" w:ascii="宋体" w:hAnsi="宋体" w:cs="宋体"/>
                <w:b/>
                <w:bCs/>
              </w:rPr>
              <w:t>163</w:t>
            </w:r>
          </w:p>
        </w:tc>
        <w:tc>
          <w:tcPr>
            <w:tcW w:w="1300" w:type="dxa"/>
          </w:tcPr>
          <w:p>
            <w:pPr>
              <w:adjustRightInd w:val="0"/>
              <w:snapToGrid w:val="0"/>
              <w:spacing w:line="360" w:lineRule="auto"/>
              <w:ind w:firstLine="422" w:firstLineChars="200"/>
              <w:rPr>
                <w:rFonts w:hint="eastAsia" w:ascii="宋体" w:hAnsi="宋体" w:cs="宋体"/>
                <w:b/>
                <w:bCs/>
              </w:rPr>
            </w:pPr>
            <w:r>
              <w:rPr>
                <w:rFonts w:hint="eastAsia" w:ascii="宋体" w:hAnsi="宋体" w:cs="宋体"/>
                <w:b/>
                <w:bCs/>
              </w:rPr>
              <w:t>1</w:t>
            </w:r>
          </w:p>
        </w:tc>
      </w:tr>
    </w:tbl>
    <w:p>
      <w:pPr>
        <w:adjustRightInd w:val="0"/>
        <w:snapToGrid w:val="0"/>
        <w:spacing w:line="360" w:lineRule="auto"/>
        <w:ind w:firstLine="420" w:firstLineChars="200"/>
        <w:rPr>
          <w:rFonts w:hint="eastAsia" w:ascii="宋体" w:hAnsi="宋体" w:cs="宋体"/>
        </w:rPr>
      </w:pPr>
      <w:r>
        <w:rPr>
          <w:rFonts w:hint="eastAsia" w:ascii="宋体" w:hAnsi="宋体" w:cs="宋体"/>
        </w:rPr>
        <w:t xml:space="preserve">        表：顺德区历年醉驾案件办结情况统计表：</w:t>
      </w:r>
    </w:p>
    <w:tbl>
      <w:tblPr>
        <w:tblStyle w:val="3"/>
        <w:tblW w:w="0" w:type="auto"/>
        <w:tblInd w:w="-26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8"/>
        <w:gridCol w:w="823"/>
        <w:gridCol w:w="823"/>
        <w:gridCol w:w="823"/>
        <w:gridCol w:w="823"/>
        <w:gridCol w:w="823"/>
        <w:gridCol w:w="823"/>
        <w:gridCol w:w="823"/>
        <w:gridCol w:w="823"/>
        <w:gridCol w:w="823"/>
        <w:gridCol w:w="11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8" w:type="dxa"/>
          </w:tcPr>
          <w:p>
            <w:pPr>
              <w:adjustRightInd w:val="0"/>
              <w:snapToGrid w:val="0"/>
              <w:spacing w:line="360" w:lineRule="auto"/>
              <w:ind w:firstLine="422" w:firstLineChars="200"/>
              <w:rPr>
                <w:rFonts w:hint="eastAsia" w:ascii="宋体" w:hAnsi="宋体" w:cs="宋体"/>
                <w:b/>
                <w:bCs/>
              </w:rPr>
            </w:pPr>
            <w:r>
              <w:rPr>
                <w:rFonts w:hint="eastAsia" w:ascii="宋体" w:hAnsi="宋体" w:cs="宋体"/>
                <w:b/>
                <w:bCs/>
              </w:rPr>
              <w:t>年度</w:t>
            </w:r>
          </w:p>
        </w:tc>
        <w:tc>
          <w:tcPr>
            <w:tcW w:w="823" w:type="dxa"/>
          </w:tcPr>
          <w:p>
            <w:pPr>
              <w:adjustRightInd w:val="0"/>
              <w:snapToGrid w:val="0"/>
              <w:spacing w:line="360" w:lineRule="auto"/>
              <w:ind w:firstLine="422" w:firstLineChars="200"/>
              <w:rPr>
                <w:rFonts w:hint="eastAsia" w:ascii="宋体" w:hAnsi="宋体" w:cs="宋体"/>
                <w:b/>
                <w:bCs/>
              </w:rPr>
            </w:pPr>
            <w:r>
              <w:rPr>
                <w:rFonts w:hint="eastAsia" w:ascii="宋体" w:hAnsi="宋体" w:cs="宋体"/>
                <w:b/>
                <w:bCs/>
              </w:rPr>
              <w:t>2011</w:t>
            </w:r>
          </w:p>
        </w:tc>
        <w:tc>
          <w:tcPr>
            <w:tcW w:w="823" w:type="dxa"/>
          </w:tcPr>
          <w:p>
            <w:pPr>
              <w:adjustRightInd w:val="0"/>
              <w:snapToGrid w:val="0"/>
              <w:spacing w:line="360" w:lineRule="auto"/>
              <w:ind w:firstLine="422" w:firstLineChars="200"/>
              <w:rPr>
                <w:rFonts w:hint="eastAsia" w:ascii="宋体" w:hAnsi="宋体" w:cs="宋体"/>
                <w:b/>
                <w:bCs/>
              </w:rPr>
            </w:pPr>
            <w:r>
              <w:rPr>
                <w:rFonts w:hint="eastAsia" w:ascii="宋体" w:hAnsi="宋体" w:cs="宋体"/>
                <w:b/>
                <w:bCs/>
              </w:rPr>
              <w:t>2012</w:t>
            </w:r>
          </w:p>
        </w:tc>
        <w:tc>
          <w:tcPr>
            <w:tcW w:w="823" w:type="dxa"/>
          </w:tcPr>
          <w:p>
            <w:pPr>
              <w:adjustRightInd w:val="0"/>
              <w:snapToGrid w:val="0"/>
              <w:spacing w:line="360" w:lineRule="auto"/>
              <w:ind w:firstLine="422" w:firstLineChars="200"/>
              <w:rPr>
                <w:rFonts w:hint="eastAsia" w:ascii="宋体" w:hAnsi="宋体" w:cs="宋体"/>
                <w:b/>
                <w:bCs/>
              </w:rPr>
            </w:pPr>
            <w:r>
              <w:rPr>
                <w:rFonts w:hint="eastAsia" w:ascii="宋体" w:hAnsi="宋体" w:cs="宋体"/>
                <w:b/>
                <w:bCs/>
              </w:rPr>
              <w:t>2013</w:t>
            </w:r>
          </w:p>
        </w:tc>
        <w:tc>
          <w:tcPr>
            <w:tcW w:w="823" w:type="dxa"/>
          </w:tcPr>
          <w:p>
            <w:pPr>
              <w:adjustRightInd w:val="0"/>
              <w:snapToGrid w:val="0"/>
              <w:spacing w:line="360" w:lineRule="auto"/>
              <w:ind w:firstLine="422" w:firstLineChars="200"/>
              <w:rPr>
                <w:rFonts w:hint="eastAsia" w:ascii="宋体" w:hAnsi="宋体" w:cs="宋体"/>
                <w:b/>
                <w:bCs/>
              </w:rPr>
            </w:pPr>
            <w:r>
              <w:rPr>
                <w:rFonts w:hint="eastAsia" w:ascii="宋体" w:hAnsi="宋体" w:cs="宋体"/>
                <w:b/>
                <w:bCs/>
              </w:rPr>
              <w:t>2014</w:t>
            </w:r>
          </w:p>
        </w:tc>
        <w:tc>
          <w:tcPr>
            <w:tcW w:w="823" w:type="dxa"/>
          </w:tcPr>
          <w:p>
            <w:pPr>
              <w:adjustRightInd w:val="0"/>
              <w:snapToGrid w:val="0"/>
              <w:spacing w:line="360" w:lineRule="auto"/>
              <w:ind w:firstLine="422" w:firstLineChars="200"/>
              <w:rPr>
                <w:rFonts w:hint="eastAsia" w:ascii="宋体" w:hAnsi="宋体" w:cs="宋体"/>
                <w:b/>
                <w:bCs/>
              </w:rPr>
            </w:pPr>
            <w:r>
              <w:rPr>
                <w:rFonts w:hint="eastAsia" w:ascii="宋体" w:hAnsi="宋体" w:cs="宋体"/>
                <w:b/>
                <w:bCs/>
              </w:rPr>
              <w:t>2015</w:t>
            </w:r>
          </w:p>
        </w:tc>
        <w:tc>
          <w:tcPr>
            <w:tcW w:w="823" w:type="dxa"/>
          </w:tcPr>
          <w:p>
            <w:pPr>
              <w:adjustRightInd w:val="0"/>
              <w:snapToGrid w:val="0"/>
              <w:spacing w:line="360" w:lineRule="auto"/>
              <w:ind w:firstLine="422" w:firstLineChars="200"/>
              <w:rPr>
                <w:rFonts w:hint="eastAsia" w:ascii="宋体" w:hAnsi="宋体" w:cs="宋体"/>
                <w:b/>
                <w:bCs/>
              </w:rPr>
            </w:pPr>
            <w:r>
              <w:rPr>
                <w:rFonts w:hint="eastAsia" w:ascii="宋体" w:hAnsi="宋体" w:cs="宋体"/>
                <w:b/>
                <w:bCs/>
              </w:rPr>
              <w:t>2016</w:t>
            </w:r>
          </w:p>
        </w:tc>
        <w:tc>
          <w:tcPr>
            <w:tcW w:w="823" w:type="dxa"/>
          </w:tcPr>
          <w:p>
            <w:pPr>
              <w:adjustRightInd w:val="0"/>
              <w:snapToGrid w:val="0"/>
              <w:spacing w:line="360" w:lineRule="auto"/>
              <w:ind w:firstLine="422" w:firstLineChars="200"/>
              <w:rPr>
                <w:rFonts w:hint="eastAsia" w:ascii="宋体" w:hAnsi="宋体" w:cs="宋体"/>
                <w:b/>
                <w:bCs/>
              </w:rPr>
            </w:pPr>
            <w:r>
              <w:rPr>
                <w:rFonts w:hint="eastAsia" w:ascii="宋体" w:hAnsi="宋体" w:cs="宋体"/>
                <w:b/>
                <w:bCs/>
              </w:rPr>
              <w:t>2017</w:t>
            </w:r>
          </w:p>
        </w:tc>
        <w:tc>
          <w:tcPr>
            <w:tcW w:w="823" w:type="dxa"/>
          </w:tcPr>
          <w:p>
            <w:pPr>
              <w:adjustRightInd w:val="0"/>
              <w:snapToGrid w:val="0"/>
              <w:spacing w:line="360" w:lineRule="auto"/>
              <w:ind w:firstLine="422" w:firstLineChars="200"/>
              <w:rPr>
                <w:rFonts w:hint="eastAsia" w:ascii="宋体" w:hAnsi="宋体" w:cs="宋体"/>
                <w:b/>
                <w:bCs/>
              </w:rPr>
            </w:pPr>
            <w:r>
              <w:rPr>
                <w:rFonts w:hint="eastAsia" w:ascii="宋体" w:hAnsi="宋体" w:cs="宋体"/>
                <w:b/>
                <w:bCs/>
              </w:rPr>
              <w:t>2018</w:t>
            </w:r>
          </w:p>
        </w:tc>
        <w:tc>
          <w:tcPr>
            <w:tcW w:w="823" w:type="dxa"/>
          </w:tcPr>
          <w:p>
            <w:pPr>
              <w:adjustRightInd w:val="0"/>
              <w:snapToGrid w:val="0"/>
              <w:spacing w:line="360" w:lineRule="auto"/>
              <w:ind w:firstLine="422" w:firstLineChars="200"/>
              <w:rPr>
                <w:rFonts w:hint="eastAsia" w:ascii="宋体" w:hAnsi="宋体" w:cs="宋体"/>
                <w:b/>
                <w:bCs/>
              </w:rPr>
            </w:pPr>
            <w:r>
              <w:rPr>
                <w:rFonts w:hint="eastAsia" w:ascii="宋体" w:hAnsi="宋体" w:cs="宋体"/>
                <w:b/>
                <w:bCs/>
              </w:rPr>
              <w:t>2019</w:t>
            </w:r>
          </w:p>
        </w:tc>
        <w:tc>
          <w:tcPr>
            <w:tcW w:w="1193" w:type="dxa"/>
          </w:tcPr>
          <w:p>
            <w:pPr>
              <w:adjustRightInd w:val="0"/>
              <w:snapToGrid w:val="0"/>
              <w:spacing w:line="360" w:lineRule="auto"/>
              <w:ind w:firstLine="422" w:firstLineChars="200"/>
              <w:rPr>
                <w:rFonts w:hint="eastAsia" w:ascii="宋体" w:hAnsi="宋体" w:cs="宋体"/>
                <w:b/>
                <w:bCs/>
              </w:rPr>
            </w:pPr>
            <w:r>
              <w:rPr>
                <w:rFonts w:hint="eastAsia" w:ascii="宋体" w:hAnsi="宋体" w:cs="宋体"/>
                <w:b/>
                <w:bCs/>
              </w:rPr>
              <w:t>2020</w:t>
            </w:r>
            <w:r>
              <w:rPr>
                <w:rFonts w:hint="eastAsia" w:ascii="宋体" w:hAnsi="宋体" w:cs="宋体"/>
              </w:rPr>
              <w:t>上半年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8"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受理</w:t>
            </w:r>
          </w:p>
        </w:tc>
        <w:tc>
          <w:tcPr>
            <w:tcW w:w="823"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100</w:t>
            </w:r>
          </w:p>
        </w:tc>
        <w:tc>
          <w:tcPr>
            <w:tcW w:w="823"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205</w:t>
            </w:r>
          </w:p>
        </w:tc>
        <w:tc>
          <w:tcPr>
            <w:tcW w:w="823"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330</w:t>
            </w:r>
          </w:p>
        </w:tc>
        <w:tc>
          <w:tcPr>
            <w:tcW w:w="823"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565</w:t>
            </w:r>
          </w:p>
        </w:tc>
        <w:tc>
          <w:tcPr>
            <w:tcW w:w="823"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783</w:t>
            </w:r>
          </w:p>
        </w:tc>
        <w:tc>
          <w:tcPr>
            <w:tcW w:w="823"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1857</w:t>
            </w:r>
          </w:p>
        </w:tc>
        <w:tc>
          <w:tcPr>
            <w:tcW w:w="823"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1819</w:t>
            </w:r>
          </w:p>
        </w:tc>
        <w:tc>
          <w:tcPr>
            <w:tcW w:w="823"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1884</w:t>
            </w:r>
          </w:p>
        </w:tc>
        <w:tc>
          <w:tcPr>
            <w:tcW w:w="823"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1830</w:t>
            </w:r>
          </w:p>
        </w:tc>
        <w:tc>
          <w:tcPr>
            <w:tcW w:w="1193"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719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8"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办结</w:t>
            </w:r>
          </w:p>
        </w:tc>
        <w:tc>
          <w:tcPr>
            <w:tcW w:w="823"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96</w:t>
            </w:r>
          </w:p>
        </w:tc>
        <w:tc>
          <w:tcPr>
            <w:tcW w:w="823"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207</w:t>
            </w:r>
          </w:p>
        </w:tc>
        <w:tc>
          <w:tcPr>
            <w:tcW w:w="823"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317</w:t>
            </w:r>
          </w:p>
        </w:tc>
        <w:tc>
          <w:tcPr>
            <w:tcW w:w="823"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573</w:t>
            </w:r>
          </w:p>
        </w:tc>
        <w:tc>
          <w:tcPr>
            <w:tcW w:w="823"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770</w:t>
            </w:r>
          </w:p>
        </w:tc>
        <w:tc>
          <w:tcPr>
            <w:tcW w:w="823"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1875</w:t>
            </w:r>
          </w:p>
        </w:tc>
        <w:tc>
          <w:tcPr>
            <w:tcW w:w="823"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1793</w:t>
            </w:r>
          </w:p>
        </w:tc>
        <w:tc>
          <w:tcPr>
            <w:tcW w:w="823"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1902</w:t>
            </w:r>
          </w:p>
        </w:tc>
        <w:tc>
          <w:tcPr>
            <w:tcW w:w="823"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1837</w:t>
            </w:r>
          </w:p>
        </w:tc>
        <w:tc>
          <w:tcPr>
            <w:tcW w:w="1193"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692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8"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起诉</w:t>
            </w:r>
          </w:p>
        </w:tc>
        <w:tc>
          <w:tcPr>
            <w:tcW w:w="823"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96</w:t>
            </w:r>
          </w:p>
        </w:tc>
        <w:tc>
          <w:tcPr>
            <w:tcW w:w="823"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207</w:t>
            </w:r>
          </w:p>
        </w:tc>
        <w:tc>
          <w:tcPr>
            <w:tcW w:w="823"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317</w:t>
            </w:r>
          </w:p>
        </w:tc>
        <w:tc>
          <w:tcPr>
            <w:tcW w:w="823"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573</w:t>
            </w:r>
          </w:p>
        </w:tc>
        <w:tc>
          <w:tcPr>
            <w:tcW w:w="823"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770</w:t>
            </w:r>
          </w:p>
        </w:tc>
        <w:tc>
          <w:tcPr>
            <w:tcW w:w="823"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1864</w:t>
            </w:r>
          </w:p>
        </w:tc>
        <w:tc>
          <w:tcPr>
            <w:tcW w:w="823"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1790</w:t>
            </w:r>
          </w:p>
        </w:tc>
        <w:tc>
          <w:tcPr>
            <w:tcW w:w="823"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1839</w:t>
            </w:r>
          </w:p>
        </w:tc>
        <w:tc>
          <w:tcPr>
            <w:tcW w:w="823"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1427</w:t>
            </w:r>
          </w:p>
        </w:tc>
        <w:tc>
          <w:tcPr>
            <w:tcW w:w="1193" w:type="dxa"/>
          </w:tcPr>
          <w:p>
            <w:pPr>
              <w:adjustRightInd w:val="0"/>
              <w:snapToGrid w:val="0"/>
              <w:spacing w:line="360" w:lineRule="auto"/>
              <w:ind w:firstLine="420" w:firstLineChars="200"/>
              <w:rPr>
                <w:rFonts w:hint="eastAsia" w:ascii="宋体" w:hAnsi="宋体" w:cs="宋体"/>
              </w:rPr>
            </w:pPr>
            <w:r>
              <w:rPr>
                <w:rFonts w:hint="eastAsia" w:ascii="宋体" w:hAnsi="宋体" w:cs="宋体"/>
              </w:rPr>
              <w:t>423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8" w:type="dxa"/>
          </w:tcPr>
          <w:p>
            <w:pPr>
              <w:adjustRightInd w:val="0"/>
              <w:snapToGrid w:val="0"/>
              <w:spacing w:line="360" w:lineRule="auto"/>
              <w:ind w:firstLine="422" w:firstLineChars="200"/>
              <w:rPr>
                <w:rFonts w:hint="eastAsia" w:ascii="宋体" w:hAnsi="宋体" w:cs="宋体"/>
                <w:b/>
                <w:bCs/>
              </w:rPr>
            </w:pPr>
            <w:r>
              <w:rPr>
                <w:rFonts w:hint="eastAsia" w:ascii="宋体" w:hAnsi="宋体" w:cs="宋体"/>
                <w:b/>
                <w:bCs/>
              </w:rPr>
              <w:t>不诉</w:t>
            </w:r>
          </w:p>
        </w:tc>
        <w:tc>
          <w:tcPr>
            <w:tcW w:w="823" w:type="dxa"/>
          </w:tcPr>
          <w:p>
            <w:pPr>
              <w:adjustRightInd w:val="0"/>
              <w:snapToGrid w:val="0"/>
              <w:spacing w:line="360" w:lineRule="auto"/>
              <w:ind w:firstLine="422" w:firstLineChars="200"/>
              <w:rPr>
                <w:rFonts w:hint="eastAsia" w:ascii="宋体" w:hAnsi="宋体" w:cs="宋体"/>
                <w:b/>
                <w:bCs/>
              </w:rPr>
            </w:pPr>
            <w:r>
              <w:rPr>
                <w:rFonts w:hint="eastAsia" w:ascii="宋体" w:hAnsi="宋体" w:cs="宋体"/>
                <w:b/>
                <w:bCs/>
              </w:rPr>
              <w:t>0</w:t>
            </w:r>
          </w:p>
        </w:tc>
        <w:tc>
          <w:tcPr>
            <w:tcW w:w="823" w:type="dxa"/>
          </w:tcPr>
          <w:p>
            <w:pPr>
              <w:adjustRightInd w:val="0"/>
              <w:snapToGrid w:val="0"/>
              <w:spacing w:line="360" w:lineRule="auto"/>
              <w:ind w:firstLine="422" w:firstLineChars="200"/>
              <w:rPr>
                <w:rFonts w:hint="eastAsia" w:ascii="宋体" w:hAnsi="宋体" w:cs="宋体"/>
                <w:b/>
                <w:bCs/>
              </w:rPr>
            </w:pPr>
            <w:r>
              <w:rPr>
                <w:rFonts w:hint="eastAsia" w:ascii="宋体" w:hAnsi="宋体" w:cs="宋体"/>
                <w:b/>
                <w:bCs/>
              </w:rPr>
              <w:t>0</w:t>
            </w:r>
          </w:p>
        </w:tc>
        <w:tc>
          <w:tcPr>
            <w:tcW w:w="823" w:type="dxa"/>
          </w:tcPr>
          <w:p>
            <w:pPr>
              <w:adjustRightInd w:val="0"/>
              <w:snapToGrid w:val="0"/>
              <w:spacing w:line="360" w:lineRule="auto"/>
              <w:ind w:firstLine="422" w:firstLineChars="200"/>
              <w:rPr>
                <w:rFonts w:hint="eastAsia" w:ascii="宋体" w:hAnsi="宋体" w:cs="宋体"/>
                <w:b/>
                <w:bCs/>
              </w:rPr>
            </w:pPr>
            <w:r>
              <w:rPr>
                <w:rFonts w:hint="eastAsia" w:ascii="宋体" w:hAnsi="宋体" w:cs="宋体"/>
                <w:b/>
                <w:bCs/>
              </w:rPr>
              <w:t>0</w:t>
            </w:r>
          </w:p>
        </w:tc>
        <w:tc>
          <w:tcPr>
            <w:tcW w:w="823" w:type="dxa"/>
          </w:tcPr>
          <w:p>
            <w:pPr>
              <w:adjustRightInd w:val="0"/>
              <w:snapToGrid w:val="0"/>
              <w:spacing w:line="360" w:lineRule="auto"/>
              <w:ind w:firstLine="422" w:firstLineChars="200"/>
              <w:rPr>
                <w:rFonts w:hint="eastAsia" w:ascii="宋体" w:hAnsi="宋体" w:cs="宋体"/>
                <w:b/>
                <w:bCs/>
              </w:rPr>
            </w:pPr>
            <w:r>
              <w:rPr>
                <w:rFonts w:hint="eastAsia" w:ascii="宋体" w:hAnsi="宋体" w:cs="宋体"/>
                <w:b/>
                <w:bCs/>
              </w:rPr>
              <w:t>0</w:t>
            </w:r>
          </w:p>
        </w:tc>
        <w:tc>
          <w:tcPr>
            <w:tcW w:w="823" w:type="dxa"/>
          </w:tcPr>
          <w:p>
            <w:pPr>
              <w:adjustRightInd w:val="0"/>
              <w:snapToGrid w:val="0"/>
              <w:spacing w:line="360" w:lineRule="auto"/>
              <w:ind w:firstLine="422" w:firstLineChars="200"/>
              <w:rPr>
                <w:rFonts w:hint="eastAsia" w:ascii="宋体" w:hAnsi="宋体" w:cs="宋体"/>
                <w:b/>
                <w:bCs/>
              </w:rPr>
            </w:pPr>
            <w:r>
              <w:rPr>
                <w:rFonts w:hint="eastAsia" w:ascii="宋体" w:hAnsi="宋体" w:cs="宋体"/>
                <w:b/>
                <w:bCs/>
              </w:rPr>
              <w:t>0</w:t>
            </w:r>
          </w:p>
        </w:tc>
        <w:tc>
          <w:tcPr>
            <w:tcW w:w="823" w:type="dxa"/>
          </w:tcPr>
          <w:p>
            <w:pPr>
              <w:adjustRightInd w:val="0"/>
              <w:snapToGrid w:val="0"/>
              <w:spacing w:line="360" w:lineRule="auto"/>
              <w:ind w:firstLine="422" w:firstLineChars="200"/>
              <w:rPr>
                <w:rFonts w:hint="eastAsia" w:ascii="宋体" w:hAnsi="宋体" w:cs="宋体"/>
                <w:b/>
                <w:bCs/>
              </w:rPr>
            </w:pPr>
            <w:r>
              <w:rPr>
                <w:rFonts w:hint="eastAsia" w:ascii="宋体" w:hAnsi="宋体" w:cs="宋体"/>
                <w:b/>
                <w:bCs/>
              </w:rPr>
              <w:t>11</w:t>
            </w:r>
          </w:p>
        </w:tc>
        <w:tc>
          <w:tcPr>
            <w:tcW w:w="823" w:type="dxa"/>
          </w:tcPr>
          <w:p>
            <w:pPr>
              <w:adjustRightInd w:val="0"/>
              <w:snapToGrid w:val="0"/>
              <w:spacing w:line="360" w:lineRule="auto"/>
              <w:ind w:firstLine="422" w:firstLineChars="200"/>
              <w:rPr>
                <w:rFonts w:hint="eastAsia" w:ascii="宋体" w:hAnsi="宋体" w:cs="宋体"/>
                <w:b/>
                <w:bCs/>
              </w:rPr>
            </w:pPr>
            <w:r>
              <w:rPr>
                <w:rFonts w:hint="eastAsia" w:ascii="宋体" w:hAnsi="宋体" w:cs="宋体"/>
                <w:b/>
                <w:bCs/>
              </w:rPr>
              <w:t>3</w:t>
            </w:r>
          </w:p>
        </w:tc>
        <w:tc>
          <w:tcPr>
            <w:tcW w:w="823" w:type="dxa"/>
          </w:tcPr>
          <w:p>
            <w:pPr>
              <w:adjustRightInd w:val="0"/>
              <w:snapToGrid w:val="0"/>
              <w:spacing w:line="360" w:lineRule="auto"/>
              <w:ind w:firstLine="422" w:firstLineChars="200"/>
              <w:rPr>
                <w:rFonts w:hint="eastAsia" w:ascii="宋体" w:hAnsi="宋体" w:cs="宋体"/>
                <w:b/>
                <w:bCs/>
              </w:rPr>
            </w:pPr>
            <w:r>
              <w:rPr>
                <w:rFonts w:hint="eastAsia" w:ascii="宋体" w:hAnsi="宋体" w:cs="宋体"/>
                <w:b/>
                <w:bCs/>
              </w:rPr>
              <w:t>63</w:t>
            </w:r>
          </w:p>
        </w:tc>
        <w:tc>
          <w:tcPr>
            <w:tcW w:w="823" w:type="dxa"/>
          </w:tcPr>
          <w:p>
            <w:pPr>
              <w:adjustRightInd w:val="0"/>
              <w:snapToGrid w:val="0"/>
              <w:spacing w:line="360" w:lineRule="auto"/>
              <w:ind w:firstLine="422" w:firstLineChars="200"/>
              <w:rPr>
                <w:rFonts w:hint="eastAsia" w:ascii="宋体" w:hAnsi="宋体" w:cs="宋体"/>
                <w:b/>
                <w:bCs/>
              </w:rPr>
            </w:pPr>
            <w:r>
              <w:rPr>
                <w:rFonts w:hint="eastAsia" w:ascii="宋体" w:hAnsi="宋体" w:cs="宋体"/>
                <w:b/>
                <w:bCs/>
              </w:rPr>
              <w:t>410</w:t>
            </w:r>
          </w:p>
        </w:tc>
        <w:tc>
          <w:tcPr>
            <w:tcW w:w="1193" w:type="dxa"/>
          </w:tcPr>
          <w:p>
            <w:pPr>
              <w:adjustRightInd w:val="0"/>
              <w:snapToGrid w:val="0"/>
              <w:spacing w:line="360" w:lineRule="auto"/>
              <w:ind w:firstLine="422" w:firstLineChars="200"/>
              <w:rPr>
                <w:rFonts w:hint="eastAsia" w:ascii="宋体" w:hAnsi="宋体" w:cs="宋体"/>
                <w:b/>
                <w:bCs/>
              </w:rPr>
            </w:pPr>
            <w:r>
              <w:rPr>
                <w:rFonts w:hint="eastAsia" w:ascii="宋体" w:hAnsi="宋体" w:cs="宋体"/>
                <w:b/>
                <w:bCs/>
              </w:rPr>
              <w:t>269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8" w:type="dxa"/>
          </w:tcPr>
          <w:p>
            <w:pPr>
              <w:adjustRightInd w:val="0"/>
              <w:snapToGrid w:val="0"/>
              <w:spacing w:line="360" w:lineRule="auto"/>
              <w:ind w:firstLine="422" w:firstLineChars="200"/>
              <w:rPr>
                <w:rFonts w:hint="eastAsia" w:ascii="宋体" w:hAnsi="宋体" w:cs="宋体"/>
                <w:b/>
                <w:bCs/>
              </w:rPr>
            </w:pPr>
            <w:r>
              <w:rPr>
                <w:rFonts w:hint="eastAsia" w:ascii="宋体" w:hAnsi="宋体" w:cs="宋体"/>
                <w:b/>
                <w:bCs/>
              </w:rPr>
              <w:t>缓刑</w:t>
            </w:r>
          </w:p>
        </w:tc>
        <w:tc>
          <w:tcPr>
            <w:tcW w:w="823" w:type="dxa"/>
          </w:tcPr>
          <w:p>
            <w:pPr>
              <w:adjustRightInd w:val="0"/>
              <w:snapToGrid w:val="0"/>
              <w:spacing w:line="360" w:lineRule="auto"/>
              <w:ind w:firstLine="422" w:firstLineChars="200"/>
              <w:rPr>
                <w:rFonts w:hint="eastAsia" w:ascii="宋体" w:hAnsi="宋体" w:cs="宋体"/>
                <w:b/>
                <w:bCs/>
              </w:rPr>
            </w:pPr>
            <w:r>
              <w:rPr>
                <w:rFonts w:hint="eastAsia" w:ascii="宋体" w:hAnsi="宋体" w:cs="宋体"/>
                <w:b/>
                <w:bCs/>
              </w:rPr>
              <w:t>13</w:t>
            </w:r>
          </w:p>
        </w:tc>
        <w:tc>
          <w:tcPr>
            <w:tcW w:w="823" w:type="dxa"/>
          </w:tcPr>
          <w:p>
            <w:pPr>
              <w:adjustRightInd w:val="0"/>
              <w:snapToGrid w:val="0"/>
              <w:spacing w:line="360" w:lineRule="auto"/>
              <w:ind w:firstLine="422" w:firstLineChars="200"/>
              <w:rPr>
                <w:rFonts w:hint="eastAsia" w:ascii="宋体" w:hAnsi="宋体" w:cs="宋体"/>
                <w:b/>
                <w:bCs/>
              </w:rPr>
            </w:pPr>
            <w:r>
              <w:rPr>
                <w:rFonts w:hint="eastAsia" w:ascii="宋体" w:hAnsi="宋体" w:cs="宋体"/>
                <w:b/>
                <w:bCs/>
              </w:rPr>
              <w:t>17</w:t>
            </w:r>
          </w:p>
        </w:tc>
        <w:tc>
          <w:tcPr>
            <w:tcW w:w="823" w:type="dxa"/>
          </w:tcPr>
          <w:p>
            <w:pPr>
              <w:adjustRightInd w:val="0"/>
              <w:snapToGrid w:val="0"/>
              <w:spacing w:line="360" w:lineRule="auto"/>
              <w:ind w:firstLine="422" w:firstLineChars="200"/>
              <w:rPr>
                <w:rFonts w:hint="eastAsia" w:ascii="宋体" w:hAnsi="宋体" w:cs="宋体"/>
                <w:b/>
                <w:bCs/>
              </w:rPr>
            </w:pPr>
            <w:r>
              <w:rPr>
                <w:rFonts w:hint="eastAsia" w:ascii="宋体" w:hAnsi="宋体" w:cs="宋体"/>
                <w:b/>
                <w:bCs/>
              </w:rPr>
              <w:t>0</w:t>
            </w:r>
          </w:p>
        </w:tc>
        <w:tc>
          <w:tcPr>
            <w:tcW w:w="823" w:type="dxa"/>
          </w:tcPr>
          <w:p>
            <w:pPr>
              <w:adjustRightInd w:val="0"/>
              <w:snapToGrid w:val="0"/>
              <w:spacing w:line="360" w:lineRule="auto"/>
              <w:ind w:firstLine="422" w:firstLineChars="200"/>
              <w:rPr>
                <w:rFonts w:hint="eastAsia" w:ascii="宋体" w:hAnsi="宋体" w:cs="宋体"/>
                <w:b/>
                <w:bCs/>
              </w:rPr>
            </w:pPr>
            <w:r>
              <w:rPr>
                <w:rFonts w:hint="eastAsia" w:ascii="宋体" w:hAnsi="宋体" w:cs="宋体"/>
                <w:b/>
                <w:bCs/>
              </w:rPr>
              <w:t>37</w:t>
            </w:r>
          </w:p>
        </w:tc>
        <w:tc>
          <w:tcPr>
            <w:tcW w:w="823" w:type="dxa"/>
          </w:tcPr>
          <w:p>
            <w:pPr>
              <w:adjustRightInd w:val="0"/>
              <w:snapToGrid w:val="0"/>
              <w:spacing w:line="360" w:lineRule="auto"/>
              <w:ind w:firstLine="422" w:firstLineChars="200"/>
              <w:rPr>
                <w:rFonts w:hint="eastAsia" w:ascii="宋体" w:hAnsi="宋体" w:cs="宋体"/>
                <w:b/>
                <w:bCs/>
              </w:rPr>
            </w:pPr>
            <w:r>
              <w:rPr>
                <w:rFonts w:hint="eastAsia" w:ascii="宋体" w:hAnsi="宋体" w:cs="宋体"/>
                <w:b/>
                <w:bCs/>
              </w:rPr>
              <w:t>167</w:t>
            </w:r>
          </w:p>
        </w:tc>
        <w:tc>
          <w:tcPr>
            <w:tcW w:w="823" w:type="dxa"/>
          </w:tcPr>
          <w:p>
            <w:pPr>
              <w:adjustRightInd w:val="0"/>
              <w:snapToGrid w:val="0"/>
              <w:spacing w:line="360" w:lineRule="auto"/>
              <w:ind w:firstLine="422" w:firstLineChars="200"/>
              <w:rPr>
                <w:rFonts w:hint="eastAsia" w:ascii="宋体" w:hAnsi="宋体" w:cs="宋体"/>
                <w:b/>
                <w:bCs/>
              </w:rPr>
            </w:pPr>
            <w:r>
              <w:rPr>
                <w:rFonts w:hint="eastAsia" w:ascii="宋体" w:hAnsi="宋体" w:cs="宋体"/>
                <w:b/>
                <w:bCs/>
              </w:rPr>
              <w:t>315</w:t>
            </w:r>
          </w:p>
        </w:tc>
        <w:tc>
          <w:tcPr>
            <w:tcW w:w="823" w:type="dxa"/>
          </w:tcPr>
          <w:p>
            <w:pPr>
              <w:adjustRightInd w:val="0"/>
              <w:snapToGrid w:val="0"/>
              <w:spacing w:line="360" w:lineRule="auto"/>
              <w:ind w:firstLine="422" w:firstLineChars="200"/>
              <w:rPr>
                <w:rFonts w:hint="eastAsia" w:ascii="宋体" w:hAnsi="宋体" w:cs="宋体"/>
                <w:b/>
                <w:bCs/>
              </w:rPr>
            </w:pPr>
            <w:r>
              <w:rPr>
                <w:rFonts w:hint="eastAsia" w:ascii="宋体" w:hAnsi="宋体" w:cs="宋体"/>
                <w:b/>
                <w:bCs/>
              </w:rPr>
              <w:t>606</w:t>
            </w:r>
          </w:p>
        </w:tc>
        <w:tc>
          <w:tcPr>
            <w:tcW w:w="823" w:type="dxa"/>
          </w:tcPr>
          <w:p>
            <w:pPr>
              <w:adjustRightInd w:val="0"/>
              <w:snapToGrid w:val="0"/>
              <w:spacing w:line="360" w:lineRule="auto"/>
              <w:ind w:firstLine="422" w:firstLineChars="200"/>
              <w:rPr>
                <w:rFonts w:hint="eastAsia" w:ascii="宋体" w:hAnsi="宋体" w:cs="宋体"/>
                <w:b/>
                <w:bCs/>
              </w:rPr>
            </w:pPr>
            <w:r>
              <w:rPr>
                <w:rFonts w:hint="eastAsia" w:ascii="宋体" w:hAnsi="宋体" w:cs="宋体"/>
                <w:b/>
                <w:bCs/>
              </w:rPr>
              <w:t>971</w:t>
            </w:r>
          </w:p>
        </w:tc>
        <w:tc>
          <w:tcPr>
            <w:tcW w:w="823" w:type="dxa"/>
          </w:tcPr>
          <w:p>
            <w:pPr>
              <w:adjustRightInd w:val="0"/>
              <w:snapToGrid w:val="0"/>
              <w:spacing w:line="360" w:lineRule="auto"/>
              <w:ind w:firstLine="422" w:firstLineChars="200"/>
              <w:rPr>
                <w:rFonts w:hint="eastAsia" w:ascii="宋体" w:hAnsi="宋体" w:cs="宋体"/>
                <w:b/>
                <w:bCs/>
              </w:rPr>
            </w:pPr>
            <w:r>
              <w:rPr>
                <w:rFonts w:hint="eastAsia" w:ascii="宋体" w:hAnsi="宋体" w:cs="宋体"/>
                <w:b/>
                <w:bCs/>
              </w:rPr>
              <w:t>896</w:t>
            </w:r>
          </w:p>
        </w:tc>
        <w:tc>
          <w:tcPr>
            <w:tcW w:w="1193" w:type="dxa"/>
          </w:tcPr>
          <w:p>
            <w:pPr>
              <w:adjustRightInd w:val="0"/>
              <w:snapToGrid w:val="0"/>
              <w:spacing w:line="360" w:lineRule="auto"/>
              <w:ind w:firstLine="422" w:firstLineChars="200"/>
              <w:rPr>
                <w:rFonts w:hint="eastAsia" w:ascii="宋体" w:hAnsi="宋体" w:cs="宋体"/>
                <w:b/>
                <w:bCs/>
              </w:rPr>
            </w:pPr>
            <w:r>
              <w:rPr>
                <w:rFonts w:hint="eastAsia" w:ascii="宋体" w:hAnsi="宋体" w:cs="宋体"/>
                <w:b/>
                <w:bCs/>
              </w:rPr>
              <w:t>364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8" w:type="dxa"/>
          </w:tcPr>
          <w:p>
            <w:pPr>
              <w:adjustRightInd w:val="0"/>
              <w:snapToGrid w:val="0"/>
              <w:spacing w:line="360" w:lineRule="auto"/>
              <w:ind w:firstLine="422" w:firstLineChars="200"/>
              <w:rPr>
                <w:rFonts w:hint="eastAsia" w:ascii="宋体" w:hAnsi="宋体" w:cs="宋体"/>
                <w:b/>
                <w:bCs/>
              </w:rPr>
            </w:pPr>
            <w:r>
              <w:rPr>
                <w:rFonts w:hint="eastAsia" w:ascii="宋体" w:hAnsi="宋体" w:cs="宋体"/>
                <w:b/>
                <w:bCs/>
              </w:rPr>
              <w:t>免刑</w:t>
            </w:r>
          </w:p>
        </w:tc>
        <w:tc>
          <w:tcPr>
            <w:tcW w:w="823" w:type="dxa"/>
          </w:tcPr>
          <w:p>
            <w:pPr>
              <w:adjustRightInd w:val="0"/>
              <w:snapToGrid w:val="0"/>
              <w:spacing w:line="360" w:lineRule="auto"/>
              <w:ind w:firstLine="422" w:firstLineChars="200"/>
              <w:rPr>
                <w:rFonts w:hint="eastAsia" w:ascii="宋体" w:hAnsi="宋体" w:cs="宋体"/>
                <w:b/>
                <w:bCs/>
              </w:rPr>
            </w:pPr>
            <w:r>
              <w:rPr>
                <w:rFonts w:hint="eastAsia" w:ascii="宋体" w:hAnsi="宋体" w:cs="宋体"/>
                <w:b/>
                <w:bCs/>
              </w:rPr>
              <w:t>0</w:t>
            </w:r>
          </w:p>
        </w:tc>
        <w:tc>
          <w:tcPr>
            <w:tcW w:w="823" w:type="dxa"/>
          </w:tcPr>
          <w:p>
            <w:pPr>
              <w:adjustRightInd w:val="0"/>
              <w:snapToGrid w:val="0"/>
              <w:spacing w:line="360" w:lineRule="auto"/>
              <w:ind w:firstLine="422" w:firstLineChars="200"/>
              <w:rPr>
                <w:rFonts w:hint="eastAsia" w:ascii="宋体" w:hAnsi="宋体" w:cs="宋体"/>
                <w:b/>
                <w:bCs/>
              </w:rPr>
            </w:pPr>
            <w:r>
              <w:rPr>
                <w:rFonts w:hint="eastAsia" w:ascii="宋体" w:hAnsi="宋体" w:cs="宋体"/>
                <w:b/>
                <w:bCs/>
              </w:rPr>
              <w:t>0</w:t>
            </w:r>
          </w:p>
        </w:tc>
        <w:tc>
          <w:tcPr>
            <w:tcW w:w="823" w:type="dxa"/>
          </w:tcPr>
          <w:p>
            <w:pPr>
              <w:adjustRightInd w:val="0"/>
              <w:snapToGrid w:val="0"/>
              <w:spacing w:line="360" w:lineRule="auto"/>
              <w:ind w:firstLine="422" w:firstLineChars="200"/>
              <w:rPr>
                <w:rFonts w:hint="eastAsia" w:ascii="宋体" w:hAnsi="宋体" w:cs="宋体"/>
                <w:b/>
                <w:bCs/>
              </w:rPr>
            </w:pPr>
            <w:r>
              <w:rPr>
                <w:rFonts w:hint="eastAsia" w:ascii="宋体" w:hAnsi="宋体" w:cs="宋体"/>
                <w:b/>
                <w:bCs/>
              </w:rPr>
              <w:t>0</w:t>
            </w:r>
          </w:p>
        </w:tc>
        <w:tc>
          <w:tcPr>
            <w:tcW w:w="823" w:type="dxa"/>
          </w:tcPr>
          <w:p>
            <w:pPr>
              <w:adjustRightInd w:val="0"/>
              <w:snapToGrid w:val="0"/>
              <w:spacing w:line="360" w:lineRule="auto"/>
              <w:ind w:firstLine="422" w:firstLineChars="200"/>
              <w:rPr>
                <w:rFonts w:hint="eastAsia" w:ascii="宋体" w:hAnsi="宋体" w:cs="宋体"/>
                <w:b/>
                <w:bCs/>
              </w:rPr>
            </w:pPr>
            <w:r>
              <w:rPr>
                <w:rFonts w:hint="eastAsia" w:ascii="宋体" w:hAnsi="宋体" w:cs="宋体"/>
                <w:b/>
                <w:bCs/>
              </w:rPr>
              <w:t>1</w:t>
            </w:r>
          </w:p>
        </w:tc>
        <w:tc>
          <w:tcPr>
            <w:tcW w:w="823" w:type="dxa"/>
          </w:tcPr>
          <w:p>
            <w:pPr>
              <w:adjustRightInd w:val="0"/>
              <w:snapToGrid w:val="0"/>
              <w:spacing w:line="360" w:lineRule="auto"/>
              <w:ind w:firstLine="422" w:firstLineChars="200"/>
              <w:rPr>
                <w:rFonts w:hint="eastAsia" w:ascii="宋体" w:hAnsi="宋体" w:cs="宋体"/>
                <w:b/>
                <w:bCs/>
              </w:rPr>
            </w:pPr>
            <w:r>
              <w:rPr>
                <w:rFonts w:hint="eastAsia" w:ascii="宋体" w:hAnsi="宋体" w:cs="宋体"/>
                <w:b/>
                <w:bCs/>
              </w:rPr>
              <w:t>0</w:t>
            </w:r>
          </w:p>
        </w:tc>
        <w:tc>
          <w:tcPr>
            <w:tcW w:w="823" w:type="dxa"/>
          </w:tcPr>
          <w:p>
            <w:pPr>
              <w:adjustRightInd w:val="0"/>
              <w:snapToGrid w:val="0"/>
              <w:spacing w:line="360" w:lineRule="auto"/>
              <w:ind w:firstLine="422" w:firstLineChars="200"/>
              <w:rPr>
                <w:rFonts w:hint="eastAsia" w:ascii="宋体" w:hAnsi="宋体" w:cs="宋体"/>
                <w:b/>
                <w:bCs/>
              </w:rPr>
            </w:pPr>
            <w:r>
              <w:rPr>
                <w:rFonts w:hint="eastAsia" w:ascii="宋体" w:hAnsi="宋体" w:cs="宋体"/>
                <w:b/>
                <w:bCs/>
              </w:rPr>
              <w:t>3</w:t>
            </w:r>
          </w:p>
        </w:tc>
        <w:tc>
          <w:tcPr>
            <w:tcW w:w="823" w:type="dxa"/>
          </w:tcPr>
          <w:p>
            <w:pPr>
              <w:adjustRightInd w:val="0"/>
              <w:snapToGrid w:val="0"/>
              <w:spacing w:line="360" w:lineRule="auto"/>
              <w:ind w:firstLine="422" w:firstLineChars="200"/>
              <w:rPr>
                <w:rFonts w:hint="eastAsia" w:ascii="宋体" w:hAnsi="宋体" w:cs="宋体"/>
                <w:b/>
                <w:bCs/>
              </w:rPr>
            </w:pPr>
            <w:r>
              <w:rPr>
                <w:rFonts w:hint="eastAsia" w:ascii="宋体" w:hAnsi="宋体" w:cs="宋体"/>
                <w:b/>
                <w:bCs/>
              </w:rPr>
              <w:t>0</w:t>
            </w:r>
          </w:p>
        </w:tc>
        <w:tc>
          <w:tcPr>
            <w:tcW w:w="823" w:type="dxa"/>
          </w:tcPr>
          <w:p>
            <w:pPr>
              <w:adjustRightInd w:val="0"/>
              <w:snapToGrid w:val="0"/>
              <w:spacing w:line="360" w:lineRule="auto"/>
              <w:ind w:firstLine="422" w:firstLineChars="200"/>
              <w:rPr>
                <w:rFonts w:hint="eastAsia" w:ascii="宋体" w:hAnsi="宋体" w:cs="宋体"/>
                <w:b/>
                <w:bCs/>
              </w:rPr>
            </w:pPr>
            <w:r>
              <w:rPr>
                <w:rFonts w:hint="eastAsia" w:ascii="宋体" w:hAnsi="宋体" w:cs="宋体"/>
                <w:b/>
                <w:bCs/>
              </w:rPr>
              <w:t>85</w:t>
            </w:r>
          </w:p>
        </w:tc>
        <w:tc>
          <w:tcPr>
            <w:tcW w:w="823" w:type="dxa"/>
          </w:tcPr>
          <w:p>
            <w:pPr>
              <w:adjustRightInd w:val="0"/>
              <w:snapToGrid w:val="0"/>
              <w:spacing w:line="360" w:lineRule="auto"/>
              <w:ind w:firstLine="422" w:firstLineChars="200"/>
              <w:rPr>
                <w:rFonts w:hint="eastAsia" w:ascii="宋体" w:hAnsi="宋体" w:cs="宋体"/>
                <w:b/>
                <w:bCs/>
              </w:rPr>
            </w:pPr>
            <w:r>
              <w:rPr>
                <w:rFonts w:hint="eastAsia" w:ascii="宋体" w:hAnsi="宋体" w:cs="宋体"/>
                <w:b/>
                <w:bCs/>
              </w:rPr>
              <w:t>149</w:t>
            </w:r>
          </w:p>
        </w:tc>
        <w:tc>
          <w:tcPr>
            <w:tcW w:w="1193" w:type="dxa"/>
          </w:tcPr>
          <w:p>
            <w:pPr>
              <w:adjustRightInd w:val="0"/>
              <w:snapToGrid w:val="0"/>
              <w:spacing w:line="360" w:lineRule="auto"/>
              <w:ind w:firstLine="422" w:firstLineChars="200"/>
              <w:rPr>
                <w:rFonts w:hint="eastAsia" w:ascii="宋体" w:hAnsi="宋体" w:cs="宋体"/>
                <w:b/>
                <w:bCs/>
              </w:rPr>
            </w:pPr>
            <w:r>
              <w:rPr>
                <w:rFonts w:hint="eastAsia" w:ascii="宋体" w:hAnsi="宋体" w:cs="宋体"/>
                <w:b/>
                <w:bCs/>
              </w:rPr>
              <w:t>1</w:t>
            </w:r>
          </w:p>
        </w:tc>
      </w:tr>
    </w:tbl>
    <w:p>
      <w:pPr>
        <w:adjustRightInd w:val="0"/>
        <w:snapToGrid w:val="0"/>
        <w:spacing w:line="360" w:lineRule="auto"/>
        <w:ind w:firstLine="420" w:firstLineChars="200"/>
        <w:rPr>
          <w:rFonts w:hint="eastAsia" w:ascii="宋体" w:hAnsi="宋体" w:cs="宋体"/>
        </w:rPr>
      </w:pPr>
    </w:p>
    <w:p>
      <w:pPr>
        <w:numPr>
          <w:ilvl w:val="0"/>
          <w:numId w:val="5"/>
        </w:numPr>
        <w:adjustRightInd w:val="0"/>
        <w:snapToGrid w:val="0"/>
        <w:spacing w:line="360" w:lineRule="auto"/>
        <w:ind w:firstLine="420" w:firstLineChars="200"/>
        <w:rPr>
          <w:rFonts w:hint="eastAsia" w:ascii="宋体" w:hAnsi="宋体" w:cs="宋体"/>
        </w:rPr>
      </w:pPr>
      <w:r>
        <w:rPr>
          <w:rFonts w:hint="eastAsia" w:ascii="宋体" w:hAnsi="宋体" w:cs="宋体"/>
        </w:rPr>
        <w:t>刑法谦抑论与风险理念之动态调和——构建多维度多层次醉驾行为预防和规制体系</w:t>
      </w:r>
    </w:p>
    <w:p>
      <w:pPr>
        <w:numPr>
          <w:ilvl w:val="0"/>
          <w:numId w:val="6"/>
        </w:numPr>
        <w:adjustRightInd w:val="0"/>
        <w:snapToGrid w:val="0"/>
        <w:spacing w:line="360" w:lineRule="auto"/>
        <w:ind w:firstLine="422" w:firstLineChars="200"/>
        <w:rPr>
          <w:rFonts w:hint="eastAsia" w:ascii="宋体" w:hAnsi="宋体" w:cs="宋体"/>
        </w:rPr>
      </w:pPr>
      <w:r>
        <w:rPr>
          <w:rFonts w:hint="eastAsia" w:ascii="宋体" w:hAnsi="宋体" w:cs="宋体"/>
          <w:b/>
          <w:bCs/>
        </w:rPr>
        <w:t>完善醉驾行为规制体系的理论基础——风险理念之下仍要坚持刑法谦抑性</w:t>
      </w:r>
    </w:p>
    <w:p>
      <w:pPr>
        <w:adjustRightInd w:val="0"/>
        <w:snapToGrid w:val="0"/>
        <w:spacing w:line="360" w:lineRule="auto"/>
        <w:ind w:firstLine="420" w:firstLineChars="200"/>
        <w:rPr>
          <w:rFonts w:hint="eastAsia" w:ascii="宋体" w:hAnsi="宋体" w:cs="宋体"/>
        </w:rPr>
      </w:pPr>
      <w:r>
        <w:rPr>
          <w:rFonts w:hint="eastAsia" w:ascii="宋体" w:hAnsi="宋体" w:cs="宋体"/>
        </w:rPr>
        <w:t>风险刑法观之下谈刑法谦抑性原则并不矛盾，二者并非非此即彼的关系，而是在风险社会之下，为保障刑法适用效果和公民安全感而需要进行动态平衡的两种刑法理念。将醉驾行为纳入刑法规制范围，且并未针对情节提出要求，已经是最大限度且合理地体现了风险社会需求下风险刑法理念的应用，在此前提之下，基于自由和人权保障的要求，并考虑到一律“入刑”如今累积的负面效果，在司法实践中对于危险犯的规制仍然需要坚持刑法谦抑性原则。我们认为，刑法的谦抑性是刑法的内核，风险刑法理念则是现代刑法发展过程中面对不断变化的社会风险的一种动态扩张，我们应首先坚持内核原则，再谈审慎扩张的问题。</w:t>
      </w:r>
    </w:p>
    <w:p>
      <w:pPr>
        <w:adjustRightInd w:val="0"/>
        <w:snapToGrid w:val="0"/>
        <w:spacing w:line="360" w:lineRule="auto"/>
        <w:ind w:firstLine="420" w:firstLineChars="200"/>
        <w:rPr>
          <w:rFonts w:hint="eastAsia" w:ascii="宋体" w:hAnsi="宋体" w:cs="宋体"/>
        </w:rPr>
      </w:pPr>
      <w:r>
        <w:rPr>
          <w:rFonts w:hint="eastAsia" w:ascii="宋体" w:hAnsi="宋体" w:cs="宋体"/>
        </w:rPr>
        <w:t>一律打击式单一评价标准而导致的过于严苛的过低的“入刑”模式，符合国民对低风险或者说最好是无风险的诉求，但也有违刑法的谦抑性及最后手段性。国民对于醉驾“重典重罚”的诉求并非是对刑法谦抑性的反对，争议的导火索在于“入刑”之下的醉驾数并未肉眼可见地明显减少、甚至不降反升的现状当然地引起更大恐慌。所以我们认为，解决争议，重点在于从源头降低醉驾案发数，消除国民对于公共交通普遍的风险“焦虑”。因此，应着重研究整个醉驾规制体系的科学性和入刑预期效果的达到上，应考虑如何在入罪前加大预防力度、在入罪后最大限度发挥威慑性上，探索在优化刑法的规制体系并坚持刑罚作为最后手段的前提下，加强行政与社会的预防力度和效果。</w:t>
      </w:r>
    </w:p>
    <w:p>
      <w:pPr>
        <w:adjustRightInd w:val="0"/>
        <w:snapToGrid w:val="0"/>
        <w:spacing w:line="360" w:lineRule="auto"/>
        <w:ind w:firstLine="422" w:firstLineChars="200"/>
        <w:rPr>
          <w:rFonts w:hint="eastAsia" w:ascii="宋体" w:hAnsi="宋体" w:cs="宋体"/>
          <w:b/>
          <w:bCs/>
        </w:rPr>
      </w:pPr>
      <w:r>
        <w:rPr>
          <w:rFonts w:hint="eastAsia" w:ascii="宋体" w:hAnsi="宋体" w:cs="宋体"/>
          <w:b/>
          <w:bCs/>
        </w:rPr>
        <w:t>（二）穷尽行政手段：围绕“风险行政法”理念，从加大规制范围和规制力度的角度，穷尽规制醉驾行为的行政手段</w:t>
      </w:r>
    </w:p>
    <w:p>
      <w:pPr>
        <w:adjustRightInd w:val="0"/>
        <w:snapToGrid w:val="0"/>
        <w:spacing w:line="360" w:lineRule="auto"/>
        <w:ind w:firstLine="420" w:firstLineChars="200"/>
        <w:rPr>
          <w:rFonts w:hint="eastAsia" w:ascii="宋体" w:hAnsi="宋体" w:cs="宋体"/>
        </w:rPr>
      </w:pPr>
      <w:r>
        <w:rPr>
          <w:rFonts w:hint="eastAsia" w:ascii="宋体" w:hAnsi="宋体" w:cs="宋体"/>
        </w:rPr>
        <w:t>如上所述，刑罚作为最严厉的法律手段，是一把双刃剑，用之不当，则有可能产生新的风险，故应审慎限制而非盲目扩张刑罚的适用，在刑事立法和刑事司法领域坚持刑法保护法益的最后手段性。那么，风险社会之下，要考虑到最大限度地消除危害风险和国民的风险“焦虑”，在适用刑法之前，可以提出“风险行政法”理念，通过完善刑事和行政立法，添加规制醉驾案件的“行刑衔接”条款，从穷尽行政手段的角度，达到“令行禁止”的规制目的和效果。</w:t>
      </w:r>
    </w:p>
    <w:p>
      <w:pPr>
        <w:numPr>
          <w:ilvl w:val="0"/>
          <w:numId w:val="7"/>
        </w:numPr>
        <w:adjustRightInd w:val="0"/>
        <w:snapToGrid w:val="0"/>
        <w:spacing w:line="360" w:lineRule="auto"/>
        <w:ind w:firstLine="422" w:firstLineChars="200"/>
        <w:rPr>
          <w:rFonts w:hint="eastAsia" w:ascii="宋体" w:hAnsi="宋体" w:cs="宋体"/>
        </w:rPr>
      </w:pPr>
      <w:r>
        <w:rPr>
          <w:rFonts w:hint="eastAsia" w:ascii="宋体" w:hAnsi="宋体" w:cs="宋体"/>
          <w:b/>
          <w:bCs/>
        </w:rPr>
        <w:t>扩大“醉驾”案件的行政处罚范围，增加“入行”比例而减少“入刑”人数。</w:t>
      </w:r>
      <w:r>
        <w:rPr>
          <w:rFonts w:hint="eastAsia" w:ascii="宋体" w:hAnsi="宋体" w:cs="宋体"/>
        </w:rPr>
        <w:t>对危险犯的刑法规制应该符合一定的犯罪规律和预期效果，从现状来看，“醉驾”一律“入刑”的模式如今并未达到立法的初衷目的，还造成大量“入罪”人员，既给司法系统带来太大压力，也给社会埋下新的隐患，故降低“入罪”数是司法实践中的当务之急。建议从增加“入行”而非“入刑”人员的角度出发，扩大“醉驾”案件的行政处罚空间范围，将细化分级处理机制前置到行政处罚阶段，赋予公安机关对于酒精含量在80-100之间且无其他任何情节的简易轻微“醉驾”案件，以情节显著轻微不作为刑事犯罪处理为由，直接处以相应的行政处罚（包括行政拘留、罚金等）的权利。以顺德地区为例，据上述数据统计可知，血液酒精含量在80-100之间无其他任何从重情节的“醉驾”人员约占到15%的比例（被判处免刑的有0.7%，以情节轻微作出相对不起诉的有14.3%），也就是15%的显著轻微的“醉驾”人员可以通过行政手段予以规制，减轻后续司法环节的压力。</w:t>
      </w:r>
    </w:p>
    <w:p>
      <w:pPr>
        <w:numPr>
          <w:ilvl w:val="0"/>
          <w:numId w:val="7"/>
        </w:numPr>
        <w:adjustRightInd w:val="0"/>
        <w:snapToGrid w:val="0"/>
        <w:spacing w:line="360" w:lineRule="auto"/>
        <w:ind w:firstLine="422" w:firstLineChars="200"/>
        <w:rPr>
          <w:rFonts w:hint="eastAsia" w:ascii="宋体" w:hAnsi="宋体" w:cs="宋体"/>
        </w:rPr>
      </w:pPr>
      <w:r>
        <w:rPr>
          <w:rFonts w:hint="eastAsia" w:ascii="宋体" w:hAnsi="宋体" w:cs="宋体"/>
          <w:b/>
          <w:bCs/>
        </w:rPr>
        <w:t>建立“行刑衔接”，加大对“出罪”的“醉驾”行为的行政处罚力度。</w:t>
      </w:r>
      <w:r>
        <w:rPr>
          <w:rFonts w:hint="eastAsia" w:ascii="宋体" w:hAnsi="宋体" w:cs="宋体"/>
        </w:rPr>
        <w:t>据统计，入刑以来整个佛山地区被作出不起诉处理和被判处免刑的醉驾人员占到查获总数的9.73%，相当于这接近10%的人被不起诉或免予刑事处罚后，他们面临的唯一处罚就只有“吊销驾驶证且五年内不得考取”这一条，虽然在“被剥夺驾驶资格五年”这一条上的惩罚力度足够，但其带给当事人的切身感受性往往还不及一般酒驾“罚金+行政拘留+暂扣驾驶证”的及时性和威慑性。而且对于这部分人来说，除了“吊销驾照”+“罪犯标签”这两个相对遥远的惩罚，其当下面临的考验和教训不足，刑罚的威慑力并未能即刻显现，直接导致预防效果不佳。因此，加大对“出罪”的“醉驾”行为的行政处罚力度尤其必要。故建议在</w:t>
      </w:r>
      <w:r>
        <w:rPr>
          <w:rFonts w:hint="eastAsia" w:ascii="宋体" w:hAnsi="宋体" w:cs="宋体"/>
          <w:lang w:eastAsia="zh-CN"/>
        </w:rPr>
        <w:t>《中华人民共和国道路交通安全法》</w:t>
      </w:r>
      <w:r>
        <w:rPr>
          <w:rFonts w:hint="eastAsia" w:ascii="宋体" w:hAnsi="宋体" w:cs="宋体"/>
        </w:rPr>
        <w:t>中增设“行刑衔接”条款，对于因犯罪情节轻微不起诉或被判处免于刑事处罚，以及因犯罪情节显著轻微不作为犯罪处理的“醉驾”情况，增加公安机关的行政处罚权，可以对应参照一般酒驾的处罚模式，对此类“出罪”的醉驾人员处以更高的行政拘留和罚金，以达到醉驾的处罚“痛感”理应重于“酒驾”的目的</w:t>
      </w:r>
      <w:r>
        <w:rPr>
          <w:rStyle w:val="5"/>
          <w:rFonts w:hint="eastAsia"/>
        </w:rPr>
        <w:footnoteReference w:id="5"/>
      </w:r>
      <w:r>
        <w:rPr>
          <w:rFonts w:hint="eastAsia" w:ascii="宋体" w:hAnsi="宋体" w:cs="宋体"/>
        </w:rPr>
        <w:t>，并填补针对此类“醉驾”人员的惩罚漏洞，强化法律手段的预防和威慑效果。</w:t>
      </w:r>
    </w:p>
    <w:p>
      <w:pPr>
        <w:numPr>
          <w:ilvl w:val="0"/>
          <w:numId w:val="7"/>
        </w:numPr>
        <w:adjustRightInd w:val="0"/>
        <w:snapToGrid w:val="0"/>
        <w:spacing w:line="360" w:lineRule="auto"/>
        <w:ind w:firstLine="422" w:firstLineChars="200"/>
        <w:rPr>
          <w:rFonts w:hint="eastAsia" w:ascii="宋体" w:hAnsi="宋体" w:cs="宋体"/>
        </w:rPr>
      </w:pPr>
      <w:r>
        <w:rPr>
          <w:rFonts w:hint="eastAsia" w:ascii="宋体" w:hAnsi="宋体" w:cs="宋体"/>
          <w:b/>
          <w:bCs/>
        </w:rPr>
        <w:t>探索更为科学有效行政查处手段，达到“令行禁止”的规制目的。</w:t>
      </w:r>
      <w:r>
        <w:rPr>
          <w:rFonts w:hint="eastAsia" w:ascii="宋体" w:hAnsi="宋体" w:cs="宋体"/>
        </w:rPr>
        <w:t>侥幸心理的存在，是酒驾、醉驾“久查不绝”的主要原因之一。而及时有效的监控与查处手段的缺失，是促成侥幸心理的根本原因。在现实生活的交通管理中，“红灯”的“令行禁止”效果是最为显著的，在有红绿灯且监控摄像头也到位的地方，“闯红灯”这一违规行为可以得到彻底有效的规制。可见，单纯遥远地借助刑法价值观的传播，并无法从根本上消除酒后驾驶的侥幸心理，只有引入类似于“红灯”监控这一类“随处设卡”的检测机器进行随时随地的“监管”，才有可能真正打压人们的侥幸心理。比如在车辆启动装置上设置酒精含量测试仪，在现有的收费卡口或者重要路段设置自动的酒精含量监测仪等等，这也是在技术上下一步要探索建立的预防和查处手段之一。</w:t>
      </w:r>
    </w:p>
    <w:p>
      <w:pPr>
        <w:adjustRightInd w:val="0"/>
        <w:snapToGrid w:val="0"/>
        <w:spacing w:line="360" w:lineRule="auto"/>
        <w:ind w:firstLine="422" w:firstLineChars="200"/>
        <w:rPr>
          <w:rFonts w:hint="eastAsia" w:ascii="宋体" w:hAnsi="宋体" w:cs="宋体"/>
        </w:rPr>
      </w:pPr>
      <w:r>
        <w:rPr>
          <w:rFonts w:hint="eastAsia" w:ascii="宋体" w:hAnsi="宋体" w:cs="宋体"/>
          <w:b/>
          <w:bCs/>
        </w:rPr>
        <w:t>（三）优化刑法手段：围绕刑法谦抑性和精细司法理念，构建以血液酒精含量为基础佐以多因素进行考察的分级处理机制</w:t>
      </w:r>
    </w:p>
    <w:p>
      <w:pPr>
        <w:adjustRightInd w:val="0"/>
        <w:snapToGrid w:val="0"/>
        <w:spacing w:line="360" w:lineRule="auto"/>
        <w:ind w:firstLine="422" w:firstLineChars="200"/>
        <w:rPr>
          <w:rFonts w:hint="eastAsia" w:ascii="宋体" w:hAnsi="宋体" w:cs="宋体"/>
        </w:rPr>
      </w:pPr>
      <w:r>
        <w:rPr>
          <w:rFonts w:hint="eastAsia" w:ascii="宋体" w:hAnsi="宋体" w:cs="宋体"/>
          <w:b/>
          <w:bCs/>
        </w:rPr>
        <w:t>1.从处罚范围的谦抑性角度，构建以血液酒精含量为基础并综合考虑多种情节因素的“入罪”标准。</w:t>
      </w:r>
      <w:r>
        <w:rPr>
          <w:rFonts w:hint="eastAsia" w:ascii="宋体" w:hAnsi="宋体" w:cs="宋体"/>
        </w:rPr>
        <w:t>以顺德目前已探索推开的做法为例，对于血液酒精含量在120以下而无法定八种从重情节且认罪认罚的，可以作不起诉处理；对于在120至140之间无其他从重情节，引入“再犯可能性测评和行为矫正”做法，通过聘请专业心理测评机构对犯罪人员的进行专业的社会调查和心理评测，经测评结果为再犯可能性较低可以进行行为矫正，再按要求完成一定时量的义工、社工活动的，可对其作出不起诉处理；对于拟不起诉处理的人员，目前还在探索通过签署拒驾宣传“承诺书”的方式以进一步达到规制和教育效果，谨防再犯；对于酒精含量80-140之间凡有法定从重处罚情节或者酒精含量140以上的，则一律起诉。在此情况下，顺德区2019年危险驾驶案中因情节显著轻微不认为是犯罪以及情节轻微作出的不起诉数为410人，是2018年63人的6.5倍，目前此类人员无再犯发生。通过构建以血液酒精含量为基础并综合考虑多种情节因素的“入罪”标准，既是对刑法谦抑性的体现，是对情节轻微的醉驾犯罪的分流“从宽”处理，也可以减少流入社会的“罪犯”数。目前各地探索出台的相关文件，均是在此基础之上，再以切合各地实践效果的某一具体酒精含量为界制定的“入罪”或“出罪”标准。</w:t>
      </w:r>
    </w:p>
    <w:p>
      <w:pPr>
        <w:numPr>
          <w:ilvl w:val="0"/>
          <w:numId w:val="8"/>
        </w:numPr>
        <w:adjustRightInd w:val="0"/>
        <w:snapToGrid w:val="0"/>
        <w:spacing w:line="360" w:lineRule="auto"/>
        <w:ind w:firstLine="422" w:firstLineChars="200"/>
        <w:rPr>
          <w:rFonts w:hint="eastAsia" w:ascii="宋体" w:hAnsi="宋体" w:cs="宋体"/>
        </w:rPr>
      </w:pPr>
      <w:r>
        <w:rPr>
          <w:rFonts w:hint="eastAsia" w:ascii="宋体" w:hAnsi="宋体" w:cs="宋体"/>
          <w:b/>
          <w:bCs/>
        </w:rPr>
        <w:t>从处罚程度的谦抑性角度，确定以酒精含量为基础多因素考察机制下统一的量刑标准。</w:t>
      </w:r>
      <w:r>
        <w:rPr>
          <w:rFonts w:hint="eastAsia" w:ascii="宋体" w:hAnsi="宋体" w:cs="宋体"/>
        </w:rPr>
        <w:t>从顺德实践来看，醉驾“起诉”案件的量刑主要以酒精含量180为界，80-180之间，主要判处拘役刑期在1个月至2个月之间（不含2个月）；酒精含量180以上的，则判处拘役刑期普遍在2个月及以上，目前同档酒精含量范围内情节程度相当的在判处拘役期限、是否缓刑上基本相差不大，同档酒精含量范围内情节程度的差异也主要体现在缓刑期和罚金的不同上，这对于不同不同酒精含量不同情节之间的分级规制作用并不明显。建议确定以酒精为基础，着重考虑从重情节的量刑标准，如可以将酒精含量分为80-160、160-200、200以上三种区间，分别对应拘役1-2个月、2-3个月、3个月以上三种期间；对于无法定从重情节的，可以适用缓刑；对于具有一般如驾驶已达报废标准、发生交通事故且负主责以上等情节的，可以在对应刑期范围内每增加一种从重情节则对应增加10天刑期；但对于具有酒驾、醉驾再犯等严重情节的，则应升格到上一刑期区间对应量刑，充分体现“宽中有严”的行为规制导向。</w:t>
      </w:r>
    </w:p>
    <w:p>
      <w:pPr>
        <w:numPr>
          <w:ilvl w:val="0"/>
          <w:numId w:val="8"/>
        </w:numPr>
        <w:adjustRightInd w:val="0"/>
        <w:snapToGrid w:val="0"/>
        <w:spacing w:line="360" w:lineRule="auto"/>
        <w:ind w:firstLine="422" w:firstLineChars="200"/>
        <w:rPr>
          <w:rFonts w:hint="eastAsia" w:ascii="宋体" w:hAnsi="宋体" w:cs="宋体"/>
        </w:rPr>
      </w:pPr>
      <w:r>
        <w:rPr>
          <w:rFonts w:hint="eastAsia" w:ascii="宋体" w:hAnsi="宋体" w:cs="宋体"/>
          <w:b/>
          <w:bCs/>
        </w:rPr>
        <w:t>出台相应司法解释建立特殊情况“醉驾”行为的“出罪”机制。</w:t>
      </w:r>
      <w:r>
        <w:rPr>
          <w:rFonts w:hint="eastAsia" w:ascii="宋体" w:hAnsi="宋体" w:cs="宋体"/>
        </w:rPr>
        <w:t>刑法明文规定了正当防卫、紧急避险这两种违法阻却事由，实践中偶尔出现的法令行为、业务行为、自救行为和自损行为等也被公认为违法阻却事由</w:t>
      </w:r>
      <w:r>
        <w:rPr>
          <w:rStyle w:val="5"/>
          <w:rFonts w:hint="eastAsia"/>
        </w:rPr>
        <w:footnoteReference w:id="6"/>
      </w:r>
      <w:r>
        <w:rPr>
          <w:rFonts w:hint="eastAsia" w:ascii="宋体" w:hAnsi="宋体" w:cs="宋体"/>
        </w:rPr>
        <w:t>，这些事由使得某些行为因为不符合犯罪的实质要件，而被自然地排除在犯罪之外。同理，考虑到醉驾行为发生的某些情形的特殊性，建议通过出台相应司法解释的方式，明确诸如抢险救灾、紧急救助、见义勇为等违法阻却事由存在以及“是否机动车”之非国家机动车目录范围内的车辆、“是否道路”之乡村僻壤或荒漠，“是否驾驶”之短距离挪车等等一系列特殊情况下“醉驾”行为的“出罪”标准。</w:t>
      </w:r>
    </w:p>
    <w:p>
      <w:pPr>
        <w:numPr>
          <w:ilvl w:val="0"/>
          <w:numId w:val="9"/>
        </w:numPr>
        <w:adjustRightInd w:val="0"/>
        <w:snapToGrid w:val="0"/>
        <w:spacing w:line="360" w:lineRule="auto"/>
        <w:ind w:firstLine="422" w:firstLineChars="200"/>
        <w:rPr>
          <w:rFonts w:hint="eastAsia" w:ascii="宋体" w:hAnsi="宋体" w:cs="宋体"/>
        </w:rPr>
      </w:pPr>
      <w:r>
        <w:rPr>
          <w:rFonts w:hint="eastAsia" w:ascii="宋体" w:hAnsi="宋体" w:cs="宋体"/>
          <w:b/>
          <w:bCs/>
        </w:rPr>
        <w:t>建立轻微“醉驾”犯罪前科记录封存制度。</w:t>
      </w:r>
      <w:r>
        <w:rPr>
          <w:rFonts w:hint="eastAsia" w:ascii="宋体" w:hAnsi="宋体" w:cs="宋体"/>
        </w:rPr>
        <w:t>可以参考最高人民检察院《人民检察院办理未成年人刑事案件的规定》第六十二条至六十六条，对未成年人的犯罪记录封存制度规定，可以对酒精含量200以内（不含200），无其他从重情节的轻微“醉驾”建立犯罪前科记录封存制度，消除“罪犯标签”给轻微“醉驾”行为人乃至整个社会后续带来的一系列连锁负面反应。</w:t>
      </w:r>
    </w:p>
    <w:p>
      <w:pPr>
        <w:adjustRightInd w:val="0"/>
        <w:snapToGrid w:val="0"/>
        <w:spacing w:line="360" w:lineRule="auto"/>
        <w:ind w:firstLine="422" w:firstLineChars="200"/>
        <w:rPr>
          <w:rFonts w:hint="eastAsia" w:ascii="宋体" w:hAnsi="宋体" w:cs="宋体"/>
          <w:b/>
          <w:bCs/>
        </w:rPr>
      </w:pPr>
      <w:r>
        <w:rPr>
          <w:rFonts w:hint="eastAsia" w:ascii="宋体" w:hAnsi="宋体" w:cs="宋体"/>
          <w:b/>
          <w:bCs/>
        </w:rPr>
        <w:t>（四）完善社会手段：围绕风险社会理论，谈如何从社会管理手段的源头上进行犯罪预防，降低国民出行风险</w:t>
      </w:r>
    </w:p>
    <w:p>
      <w:pPr>
        <w:adjustRightInd w:val="0"/>
        <w:snapToGrid w:val="0"/>
        <w:spacing w:line="360" w:lineRule="auto"/>
        <w:ind w:firstLine="422" w:firstLineChars="200"/>
        <w:rPr>
          <w:rFonts w:hint="eastAsia" w:ascii="宋体" w:hAnsi="宋体" w:cs="宋体"/>
        </w:rPr>
      </w:pPr>
      <w:r>
        <w:rPr>
          <w:rFonts w:hint="eastAsia" w:ascii="宋体" w:hAnsi="宋体" w:cs="宋体"/>
          <w:b/>
          <w:bCs/>
        </w:rPr>
        <w:t>1.建立完善的社会综合预防和教育矫正体系。</w:t>
      </w:r>
      <w:r>
        <w:rPr>
          <w:rFonts w:hint="eastAsia" w:ascii="宋体" w:hAnsi="宋体" w:cs="宋体"/>
        </w:rPr>
        <w:t>一套完备的行为规制和犯罪治理体系，除了配备行政、刑事等刚性的治理手段，还要配备完善的社会治理手段，一方面在“入刑”这一“硬惩罚”以外，应优先尽可能考虑加大社会治理这一“软惩罚”的力度，故建议完善社会配套综合惩戒措施，衔接银行、保险、交通、社保等领域，将酒驾、醉驾行为与个人不良信用记录、驾驶行业准入机制、机动车保险费用浮动机制、出行和消费限制等方面相关联，以进一步达到威慑和预防目的。另一方面，也要谨防“一放了之、一判了之”的刑罚之外的“断档”现象出现，影响预防再犯和前期的治理效果，激发群众不满，建议建立醉驾行为配套的社会教育矫正机制，针对所有实施“醉驾”行为的行为人综合考虑酒精含量和情节强制完成相对应期限或时长的社会服务等。</w:t>
      </w:r>
    </w:p>
    <w:p>
      <w:pPr>
        <w:adjustRightInd w:val="0"/>
        <w:snapToGrid w:val="0"/>
        <w:spacing w:line="360" w:lineRule="auto"/>
        <w:ind w:firstLine="422" w:firstLineChars="200"/>
        <w:rPr>
          <w:rFonts w:hint="eastAsia" w:ascii="宋体" w:hAnsi="宋体" w:cs="宋体"/>
        </w:rPr>
      </w:pPr>
      <w:r>
        <w:rPr>
          <w:rFonts w:hint="eastAsia" w:ascii="宋体" w:hAnsi="宋体" w:cs="宋体"/>
          <w:b/>
          <w:bCs/>
        </w:rPr>
        <w:t>2.加强对“醉驾”危险后果和刑罚后果的宣传和教育。</w:t>
      </w:r>
      <w:r>
        <w:rPr>
          <w:rFonts w:hint="eastAsia" w:ascii="宋体" w:hAnsi="宋体" w:cs="宋体"/>
        </w:rPr>
        <w:t>无论是上述行政处罚、刑事责任还是将面临的社会影响，要真正从理念上转变为一种行为指导的价值观，我们认为宣传和教育仍是老生常谈却又必不可少、行之有效的手段之一。从个人的教育、学生的教育、家长的教育、社区的宣传教育到村居企业单位任一群体的教育都应该全方位持续深入做下去，不仅要让“酒后拒驾”的理念直抵人心，更要让“酒驾”和“醉驾”的危险后果和面临的惩罚、责任和一系列影响深入人心，从日常行为习惯中逐步消除国民普遍存在的侥幸心理，达到自觉拒绝酒后驾驶、逐渐减少醉驾数的目的。</w:t>
      </w:r>
    </w:p>
    <w:p>
      <w:pPr>
        <w:adjustRightInd w:val="0"/>
        <w:snapToGrid w:val="0"/>
        <w:spacing w:line="360" w:lineRule="auto"/>
        <w:ind w:firstLine="420" w:firstLineChars="200"/>
        <w:rPr>
          <w:rFonts w:hint="eastAsia" w:ascii="宋体" w:hAnsi="宋体" w:cs="宋体"/>
        </w:rPr>
      </w:pPr>
    </w:p>
    <w:p>
      <w:pPr>
        <w:adjustRightInd w:val="0"/>
        <w:snapToGrid w:val="0"/>
        <w:spacing w:line="360" w:lineRule="auto"/>
        <w:ind w:firstLine="420" w:firstLineChars="200"/>
        <w:rPr>
          <w:rFonts w:hint="eastAsia" w:ascii="宋体" w:hAnsi="宋体" w:cs="宋体"/>
        </w:rPr>
      </w:pPr>
      <w:r>
        <w:rPr>
          <w:rFonts w:hint="eastAsia" w:ascii="宋体" w:hAnsi="宋体" w:cs="宋体"/>
        </w:rPr>
        <w:t>酒后驾驶行为的治理，对于“酒文化”由来已久的我国来说，涉及到价值信念、社会经济、工作生活等各方面，是一项复杂的综合“工程”，既需要国家从立法、司法、执法上持续推进“硬治理”，也需要一代代国民从教育、理念、行为习惯上不断地“软提升”，其任重而道远，需要国家和国民持续共同的努力。</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14">
    <w:p>
      <w:r>
        <w:separator/>
      </w:r>
    </w:p>
  </w:footnote>
  <w:footnote w:type="continuationSeparator" w:id="15">
    <w:p>
      <w:r>
        <w:continuationSeparator/>
      </w:r>
    </w:p>
  </w:footnote>
  <w:footnote w:id="0">
    <w:p>
      <w:pPr>
        <w:pStyle w:val="2"/>
        <w:rPr>
          <w:rStyle w:val="5"/>
        </w:rPr>
      </w:pPr>
      <w:r>
        <w:rPr>
          <w:rFonts w:hint="eastAsia"/>
        </w:rPr>
        <w:t>*徐  彪：广东省佛山市顺德区人民检察院检察长；梁毅华：广东省佛山市顺德区人民检察院第三检察部主任；贺金慧：广东省佛山市顺德区人民检察院第三检察部检察官助理。</w:t>
      </w:r>
    </w:p>
    <w:p>
      <w:pPr>
        <w:pStyle w:val="2"/>
      </w:pPr>
      <w:r>
        <w:rPr>
          <w:rStyle w:val="5"/>
        </w:rPr>
        <w:footnoteRef/>
      </w:r>
      <w:r>
        <w:t xml:space="preserve"> </w:t>
      </w:r>
      <w:r>
        <w:rPr>
          <w:rFonts w:hint="eastAsia"/>
        </w:rPr>
        <w:t>[德]乌尔里希·贝壳：《风险社会》，何博闻译，译林出版社，2014年版。</w:t>
      </w:r>
    </w:p>
  </w:footnote>
  <w:footnote w:id="1">
    <w:p>
      <w:pPr>
        <w:pStyle w:val="2"/>
      </w:pPr>
      <w:r>
        <w:rPr>
          <w:rStyle w:val="5"/>
        </w:rPr>
        <w:footnoteRef/>
      </w:r>
      <w:r>
        <w:t xml:space="preserve"> </w:t>
      </w:r>
      <w:r>
        <w:rPr>
          <w:rFonts w:hint="eastAsia"/>
        </w:rPr>
        <w:t>王拓：《风险刑法：风险社会下传统刑法的必要补充》，载《检察日报》2010年4月26日。</w:t>
      </w:r>
    </w:p>
  </w:footnote>
  <w:footnote w:id="2">
    <w:p>
      <w:pPr>
        <w:pStyle w:val="2"/>
        <w:rPr>
          <w:rFonts w:hint="eastAsia"/>
          <w:sz w:val="20"/>
          <w:szCs w:val="28"/>
        </w:rPr>
      </w:pPr>
      <w:r>
        <w:rPr>
          <w:rStyle w:val="5"/>
          <w:sz w:val="20"/>
          <w:szCs w:val="28"/>
        </w:rPr>
        <w:footnoteRef/>
      </w:r>
      <w:r>
        <w:rPr>
          <w:sz w:val="20"/>
          <w:szCs w:val="28"/>
        </w:rPr>
        <w:t xml:space="preserve"> </w:t>
      </w:r>
      <w:r>
        <w:rPr>
          <w:rFonts w:hint="eastAsia"/>
          <w:sz w:val="20"/>
          <w:szCs w:val="28"/>
        </w:rPr>
        <w:t>注：数据统计至2</w:t>
      </w:r>
      <w:r>
        <w:rPr>
          <w:sz w:val="20"/>
          <w:szCs w:val="28"/>
        </w:rPr>
        <w:t>020</w:t>
      </w:r>
      <w:r>
        <w:rPr>
          <w:rFonts w:hint="eastAsia"/>
          <w:sz w:val="20"/>
          <w:szCs w:val="28"/>
        </w:rPr>
        <w:t>年6月3</w:t>
      </w:r>
      <w:r>
        <w:rPr>
          <w:sz w:val="20"/>
          <w:szCs w:val="28"/>
        </w:rPr>
        <w:t>0</w:t>
      </w:r>
      <w:r>
        <w:rPr>
          <w:rFonts w:hint="eastAsia"/>
          <w:sz w:val="20"/>
          <w:szCs w:val="28"/>
        </w:rPr>
        <w:t>日。其中，两级地区自入刑以来仅顺德出现过1件2人因追逐竞驾情节恶劣而非醉驾导致的危险驾驶案未列入统计，其余均为醉驾型危险驾驶案</w:t>
      </w:r>
    </w:p>
  </w:footnote>
  <w:footnote w:id="3">
    <w:p>
      <w:pPr>
        <w:pStyle w:val="2"/>
      </w:pPr>
      <w:r>
        <w:rPr>
          <w:rStyle w:val="5"/>
        </w:rPr>
        <w:footnoteRef/>
      </w:r>
      <w:r>
        <w:t xml:space="preserve"> </w:t>
      </w:r>
      <w:r>
        <w:rPr>
          <w:rFonts w:hint="eastAsia"/>
        </w:rPr>
        <w:t>注：不含2个月，包括1个月10日、1个月15、1个月20日等情况，以此类推。</w:t>
      </w:r>
    </w:p>
  </w:footnote>
  <w:footnote w:id="4">
    <w:p>
      <w:pPr>
        <w:pStyle w:val="2"/>
        <w:rPr>
          <w:rFonts w:hint="eastAsia"/>
        </w:rPr>
      </w:pPr>
      <w:r>
        <w:rPr>
          <w:rStyle w:val="5"/>
        </w:rPr>
        <w:footnoteRef/>
      </w:r>
      <w:r>
        <w:t xml:space="preserve"> </w:t>
      </w:r>
      <w:r>
        <w:rPr>
          <w:rFonts w:hint="eastAsia"/>
        </w:rPr>
        <w:t>黎宏：《对风险刑法观的反思》，载《人民检察》，2</w:t>
      </w:r>
      <w:r>
        <w:t>011</w:t>
      </w:r>
      <w:r>
        <w:rPr>
          <w:rFonts w:hint="eastAsia"/>
        </w:rPr>
        <w:t>年第3期。</w:t>
      </w:r>
    </w:p>
  </w:footnote>
  <w:footnote w:id="5">
    <w:p>
      <w:pPr>
        <w:pStyle w:val="2"/>
      </w:pPr>
      <w:r>
        <w:rPr>
          <w:rStyle w:val="5"/>
        </w:rPr>
        <w:footnoteRef/>
      </w:r>
      <w:r>
        <w:t xml:space="preserve"> </w:t>
      </w:r>
      <w:r>
        <w:rPr>
          <w:rFonts w:hint="eastAsia"/>
        </w:rPr>
        <w:t>王敏远：《“醉驾”型危险驾驶罪综合治理的实证研究——以浙江省司法实践为研究样本》，载《法学》2020年第3期。</w:t>
      </w:r>
    </w:p>
  </w:footnote>
  <w:footnote w:id="6">
    <w:p>
      <w:pPr>
        <w:pStyle w:val="2"/>
      </w:pPr>
      <w:r>
        <w:rPr>
          <w:rStyle w:val="5"/>
        </w:rPr>
        <w:footnoteRef/>
      </w:r>
      <w:r>
        <w:t xml:space="preserve"> </w:t>
      </w:r>
      <w:r>
        <w:rPr>
          <w:rFonts w:hint="eastAsia"/>
        </w:rPr>
        <w:t>张明楷：《刑法学（第五版）》，法律出版社，2015年第5版，第191页。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F111A38"/>
    <w:multiLevelType w:val="singleLevel"/>
    <w:tmpl w:val="5F111A38"/>
    <w:lvl w:ilvl="0" w:tentative="0">
      <w:start w:val="2"/>
      <w:numFmt w:val="decimal"/>
      <w:suff w:val="nothing"/>
      <w:lvlText w:val="%1."/>
      <w:lvlJc w:val="left"/>
    </w:lvl>
  </w:abstractNum>
  <w:abstractNum w:abstractNumId="1">
    <w:nsid w:val="5F45B6CE"/>
    <w:multiLevelType w:val="singleLevel"/>
    <w:tmpl w:val="5F45B6CE"/>
    <w:lvl w:ilvl="0" w:tentative="0">
      <w:start w:val="4"/>
      <w:numFmt w:val="chineseCounting"/>
      <w:suff w:val="nothing"/>
      <w:lvlText w:val="%1、"/>
      <w:lvlJc w:val="left"/>
    </w:lvl>
  </w:abstractNum>
  <w:abstractNum w:abstractNumId="2">
    <w:nsid w:val="5F460EFA"/>
    <w:multiLevelType w:val="singleLevel"/>
    <w:tmpl w:val="5F460EFA"/>
    <w:lvl w:ilvl="0" w:tentative="0">
      <w:start w:val="1"/>
      <w:numFmt w:val="chineseCounting"/>
      <w:suff w:val="nothing"/>
      <w:lvlText w:val="（%1）"/>
      <w:lvlJc w:val="left"/>
    </w:lvl>
  </w:abstractNum>
  <w:abstractNum w:abstractNumId="3">
    <w:nsid w:val="5F4C5C90"/>
    <w:multiLevelType w:val="singleLevel"/>
    <w:tmpl w:val="5F4C5C90"/>
    <w:lvl w:ilvl="0" w:tentative="0">
      <w:start w:val="7"/>
      <w:numFmt w:val="decimal"/>
      <w:suff w:val="nothing"/>
      <w:lvlText w:val="%1."/>
      <w:lvlJc w:val="left"/>
      <w:rPr>
        <w:rFonts w:hint="default"/>
        <w:b/>
        <w:bCs/>
      </w:rPr>
    </w:lvl>
  </w:abstractNum>
  <w:abstractNum w:abstractNumId="4">
    <w:nsid w:val="5F4CB563"/>
    <w:multiLevelType w:val="singleLevel"/>
    <w:tmpl w:val="5F4CB563"/>
    <w:lvl w:ilvl="0" w:tentative="0">
      <w:start w:val="1"/>
      <w:numFmt w:val="decimal"/>
      <w:suff w:val="nothing"/>
      <w:lvlText w:val="（%1）"/>
      <w:lvlJc w:val="left"/>
    </w:lvl>
  </w:abstractNum>
  <w:abstractNum w:abstractNumId="5">
    <w:nsid w:val="5F4CC3F0"/>
    <w:multiLevelType w:val="singleLevel"/>
    <w:tmpl w:val="5F4CC3F0"/>
    <w:lvl w:ilvl="0" w:tentative="0">
      <w:start w:val="1"/>
      <w:numFmt w:val="decimal"/>
      <w:suff w:val="nothing"/>
      <w:lvlText w:val="%1."/>
      <w:lvlJc w:val="left"/>
    </w:lvl>
  </w:abstractNum>
  <w:abstractNum w:abstractNumId="6">
    <w:nsid w:val="5F4DB160"/>
    <w:multiLevelType w:val="singleLevel"/>
    <w:tmpl w:val="5F4DB160"/>
    <w:lvl w:ilvl="0" w:tentative="0">
      <w:start w:val="2"/>
      <w:numFmt w:val="decimal"/>
      <w:suff w:val="nothing"/>
      <w:lvlText w:val="%1."/>
      <w:lvlJc w:val="left"/>
    </w:lvl>
  </w:abstractNum>
  <w:abstractNum w:abstractNumId="7">
    <w:nsid w:val="5F4DB7D6"/>
    <w:multiLevelType w:val="singleLevel"/>
    <w:tmpl w:val="5F4DB7D6"/>
    <w:lvl w:ilvl="0" w:tentative="0">
      <w:start w:val="1"/>
      <w:numFmt w:val="decimal"/>
      <w:suff w:val="nothing"/>
      <w:lvlText w:val="%1."/>
      <w:lvlJc w:val="left"/>
    </w:lvl>
  </w:abstractNum>
  <w:abstractNum w:abstractNumId="8">
    <w:nsid w:val="5F4DFD7C"/>
    <w:multiLevelType w:val="singleLevel"/>
    <w:tmpl w:val="5F4DFD7C"/>
    <w:lvl w:ilvl="0" w:tentative="0">
      <w:start w:val="4"/>
      <w:numFmt w:val="decimal"/>
      <w:suff w:val="nothing"/>
      <w:lvlText w:val="%1."/>
      <w:lvlJc w:val="left"/>
    </w:lvl>
  </w:abstractNum>
  <w:num w:numId="1">
    <w:abstractNumId w:val="3"/>
  </w:num>
  <w:num w:numId="2">
    <w:abstractNumId w:val="5"/>
  </w:num>
  <w:num w:numId="3">
    <w:abstractNumId w:val="6"/>
  </w:num>
  <w:num w:numId="4">
    <w:abstractNumId w:val="4"/>
  </w:num>
  <w:num w:numId="5">
    <w:abstractNumId w:val="1"/>
  </w:num>
  <w:num w:numId="6">
    <w:abstractNumId w:val="2"/>
  </w:num>
  <w:num w:numId="7">
    <w:abstractNumId w:val="7"/>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14"/>
    <w:footnote w:id="15"/>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I0ZmFmYzYyZmQ5MTYxNzUxMTA4MWI1YmVjOTY3MTQifQ=="/>
  </w:docVars>
  <w:rsids>
    <w:rsidRoot w:val="285E38C4"/>
    <w:rsid w:val="188A1C19"/>
    <w:rsid w:val="285E38C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99"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note text"/>
    <w:basedOn w:val="1"/>
    <w:semiHidden/>
    <w:qFormat/>
    <w:uiPriority w:val="99"/>
    <w:pPr>
      <w:snapToGrid w:val="0"/>
      <w:jc w:val="left"/>
    </w:pPr>
    <w:rPr>
      <w:rFonts w:asciiTheme="minorHAnsi" w:hAnsiTheme="minorHAnsi" w:eastAsiaTheme="minorEastAsia" w:cstheme="minorBidi"/>
      <w:sz w:val="18"/>
      <w:szCs w:val="18"/>
    </w:rPr>
  </w:style>
  <w:style w:type="character" w:styleId="5">
    <w:name w:val="footnote reference"/>
    <w:basedOn w:val="4"/>
    <w:semiHidden/>
    <w:qFormat/>
    <w:uiPriority w:val="0"/>
    <w:rPr>
      <w:rFonts w:cs="Times New Roman"/>
      <w:vertAlign w:val="superscript"/>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2021-05-08T02:41:00Z</dcterms:created>
  <dc:creator>梦儿要变白 </dc:creator>
  <cp:lastModifiedBy>赤焰完燃</cp:lastModifiedBy>
  <dcterms:modified xsi:type="dcterms:W3CDTF">2023-10-09T09:01:53Z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F4997D9D1A154B4D856BB90B3AD76591</vt:lpwstr>
  </property>
</Properties>
</file>